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971A" w14:textId="353789C1" w:rsidR="004946FF" w:rsidRPr="00A45C9F" w:rsidRDefault="004946FF" w:rsidP="004946FF">
      <w:pPr>
        <w:widowControl/>
        <w:suppressAutoHyphens w:val="0"/>
        <w:spacing w:after="200"/>
        <w:rPr>
          <w:szCs w:val="24"/>
        </w:rPr>
      </w:pPr>
    </w:p>
    <w:p w14:paraId="742AB2A7" w14:textId="77777777" w:rsidR="005C2E66" w:rsidRPr="00CF392C" w:rsidRDefault="005C2E66" w:rsidP="005C2E66">
      <w:pPr>
        <w:pStyle w:val="Body"/>
        <w:jc w:val="both"/>
        <w:rPr>
          <w:rFonts w:cs="Times New Roman"/>
          <w:b/>
          <w:bCs/>
        </w:rPr>
      </w:pPr>
      <w:proofErr w:type="spellStart"/>
      <w:r w:rsidRPr="00CF392C">
        <w:rPr>
          <w:rFonts w:cs="Times New Roman"/>
          <w:b/>
          <w:bCs/>
        </w:rPr>
        <w:t>Liisa-Ly</w:t>
      </w:r>
      <w:proofErr w:type="spellEnd"/>
      <w:r w:rsidRPr="00CF392C">
        <w:rPr>
          <w:rFonts w:cs="Times New Roman"/>
          <w:b/>
          <w:bCs/>
        </w:rPr>
        <w:t xml:space="preserve"> Pakosta</w:t>
      </w:r>
      <w:r w:rsidRPr="00CF392C">
        <w:rPr>
          <w:rFonts w:cs="Times New Roman"/>
          <w:b/>
          <w:bCs/>
        </w:rPr>
        <w:tab/>
      </w:r>
      <w:r w:rsidRPr="00CF392C">
        <w:rPr>
          <w:rFonts w:cs="Times New Roman"/>
          <w:b/>
          <w:bCs/>
        </w:rPr>
        <w:tab/>
      </w:r>
      <w:r w:rsidRPr="00CF392C">
        <w:rPr>
          <w:rFonts w:cs="Times New Roman"/>
          <w:b/>
          <w:bCs/>
        </w:rPr>
        <w:tab/>
      </w:r>
      <w:r w:rsidRPr="00CF392C">
        <w:rPr>
          <w:rFonts w:cs="Times New Roman"/>
          <w:b/>
          <w:bCs/>
        </w:rPr>
        <w:tab/>
      </w:r>
      <w:r w:rsidRPr="00CF392C">
        <w:rPr>
          <w:rFonts w:cs="Times New Roman"/>
          <w:b/>
          <w:bCs/>
        </w:rPr>
        <w:tab/>
      </w:r>
    </w:p>
    <w:p w14:paraId="2514AA21" w14:textId="0E68BCC7" w:rsidR="005C2E66" w:rsidRPr="00CF392C" w:rsidRDefault="005C2E66" w:rsidP="005C2E66">
      <w:pPr>
        <w:pStyle w:val="Body"/>
        <w:jc w:val="both"/>
        <w:rPr>
          <w:rFonts w:cs="Times New Roman"/>
          <w:bCs/>
          <w:color w:val="auto"/>
        </w:rPr>
      </w:pPr>
      <w:r w:rsidRPr="00CF392C">
        <w:rPr>
          <w:rFonts w:cs="Times New Roman"/>
        </w:rPr>
        <w:t>Justiits- ja digiminister</w:t>
      </w:r>
      <w:r w:rsidRPr="00CF392C">
        <w:rPr>
          <w:rFonts w:cs="Times New Roman"/>
          <w:b/>
          <w:bCs/>
        </w:rPr>
        <w:t xml:space="preserve">                                                               </w:t>
      </w:r>
      <w:r w:rsidR="004E6AFA">
        <w:rPr>
          <w:rFonts w:cs="Times New Roman"/>
          <w:b/>
          <w:bCs/>
        </w:rPr>
        <w:t xml:space="preserve">           </w:t>
      </w:r>
      <w:r w:rsidR="00863E0D">
        <w:rPr>
          <w:rFonts w:cs="Times New Roman"/>
          <w:b/>
          <w:bCs/>
        </w:rPr>
        <w:t xml:space="preserve">     </w:t>
      </w:r>
      <w:r w:rsidR="00863E0D">
        <w:rPr>
          <w:rFonts w:cs="Times New Roman"/>
          <w:bCs/>
          <w:color w:val="auto"/>
        </w:rPr>
        <w:t>12</w:t>
      </w:r>
      <w:r>
        <w:rPr>
          <w:rFonts w:cs="Times New Roman"/>
          <w:bCs/>
          <w:color w:val="auto"/>
        </w:rPr>
        <w:t>.01.2026</w:t>
      </w:r>
      <w:r w:rsidRPr="00CF392C">
        <w:rPr>
          <w:rFonts w:cs="Times New Roman"/>
          <w:bCs/>
          <w:color w:val="auto"/>
        </w:rPr>
        <w:t xml:space="preserve"> nr </w:t>
      </w:r>
      <w:r w:rsidR="00DB5D5E">
        <w:rPr>
          <w:rFonts w:cs="Times New Roman"/>
          <w:bCs/>
          <w:color w:val="auto"/>
        </w:rPr>
        <w:t>1</w:t>
      </w:r>
      <w:r w:rsidRPr="00CF392C">
        <w:rPr>
          <w:rFonts w:cs="Times New Roman"/>
          <w:bCs/>
          <w:color w:val="auto"/>
        </w:rPr>
        <w:t>-</w:t>
      </w:r>
      <w:r w:rsidR="00DB5D5E">
        <w:rPr>
          <w:rFonts w:cs="Times New Roman"/>
          <w:bCs/>
          <w:color w:val="auto"/>
        </w:rPr>
        <w:t>8</w:t>
      </w:r>
      <w:r w:rsidRPr="00CF392C">
        <w:rPr>
          <w:rFonts w:cs="Times New Roman"/>
          <w:bCs/>
          <w:color w:val="auto"/>
        </w:rPr>
        <w:t>/</w:t>
      </w:r>
      <w:r w:rsidR="00863E0D">
        <w:rPr>
          <w:rFonts w:cs="Times New Roman"/>
          <w:bCs/>
          <w:color w:val="auto"/>
        </w:rPr>
        <w:t>26/11</w:t>
      </w:r>
      <w:r w:rsidRPr="00CF392C">
        <w:rPr>
          <w:rFonts w:cs="Times New Roman"/>
          <w:bCs/>
          <w:color w:val="auto"/>
        </w:rPr>
        <w:t xml:space="preserve"> </w:t>
      </w:r>
    </w:p>
    <w:p w14:paraId="24CF7866" w14:textId="3525A3E1" w:rsidR="005C2E66" w:rsidRPr="00CF392C" w:rsidRDefault="005C2E66" w:rsidP="005C2E66">
      <w:pPr>
        <w:pStyle w:val="Body"/>
        <w:jc w:val="both"/>
        <w:rPr>
          <w:rFonts w:eastAsia="Times New Roman" w:cs="Times New Roman"/>
          <w:bCs/>
        </w:rPr>
      </w:pPr>
      <w:r w:rsidRPr="00CF392C">
        <w:rPr>
          <w:rFonts w:cs="Times New Roman"/>
        </w:rPr>
        <w:t xml:space="preserve">Justiitsministeerium                                                                    </w:t>
      </w:r>
    </w:p>
    <w:p w14:paraId="464AB4AD" w14:textId="77777777" w:rsidR="005C2E66" w:rsidRPr="00CF392C" w:rsidRDefault="005C2E66" w:rsidP="005C2E66">
      <w:pPr>
        <w:pStyle w:val="Body"/>
        <w:jc w:val="both"/>
        <w:rPr>
          <w:rFonts w:cs="Times New Roman"/>
        </w:rPr>
      </w:pPr>
      <w:r w:rsidRPr="00CF392C">
        <w:rPr>
          <w:rFonts w:eastAsia="Times New Roman" w:cs="Times New Roman"/>
          <w:bCs/>
        </w:rPr>
        <w:t>info@justdigi.ee</w:t>
      </w:r>
      <w:r w:rsidRPr="00CF392C">
        <w:rPr>
          <w:rFonts w:cs="Times New Roman"/>
          <w:color w:val="auto"/>
        </w:rPr>
        <w:tab/>
        <w:t xml:space="preserve">            </w:t>
      </w:r>
    </w:p>
    <w:p w14:paraId="63A11AA9" w14:textId="15CF3DEE" w:rsidR="00866A12" w:rsidRPr="00866A12" w:rsidRDefault="00866A12" w:rsidP="004946FF">
      <w:pPr>
        <w:widowControl/>
        <w:suppressAutoHyphens w:val="0"/>
        <w:spacing w:after="200"/>
        <w:rPr>
          <w:rFonts w:eastAsia="Arial Unicode MS"/>
          <w:szCs w:val="24"/>
          <w:bdr w:val="nil"/>
          <w14:textOutline w14:w="0" w14:cap="flat" w14:cmpd="sng" w14:algn="ctr">
            <w14:noFill/>
            <w14:prstDash w14:val="solid"/>
            <w14:bevel/>
          </w14:textOutline>
        </w:rPr>
      </w:pPr>
      <w:r w:rsidRPr="00866A12">
        <w:rPr>
          <w:rFonts w:eastAsia="Arial Unicode MS"/>
          <w:szCs w:val="24"/>
          <w:bdr w:val="nil"/>
          <w14:textOutline w14:w="0" w14:cap="flat" w14:cmpd="sng" w14:algn="ctr">
            <w14:noFill/>
            <w14:prstDash w14:val="solid"/>
            <w14:bevel/>
          </w14:textOutline>
        </w:rPr>
        <w:t>katlin-chris.kruusmaa@justdigi.ee</w:t>
      </w:r>
    </w:p>
    <w:p w14:paraId="54775CA0" w14:textId="032397E8" w:rsidR="0060786C" w:rsidRDefault="0060786C" w:rsidP="00866A12">
      <w:pPr>
        <w:pStyle w:val="Body"/>
        <w:jc w:val="both"/>
        <w:rPr>
          <w:rFonts w:cs="Times New Roman"/>
        </w:rPr>
      </w:pPr>
      <w:r w:rsidRPr="0060786C">
        <w:rPr>
          <w:rFonts w:cs="Times New Roman"/>
        </w:rPr>
        <w:t>Teadmiseks:</w:t>
      </w:r>
    </w:p>
    <w:p w14:paraId="29036FEC" w14:textId="77777777" w:rsidR="0060786C" w:rsidRPr="0060786C" w:rsidRDefault="0060786C" w:rsidP="00866A12">
      <w:pPr>
        <w:pStyle w:val="Body"/>
        <w:jc w:val="both"/>
        <w:rPr>
          <w:rFonts w:cs="Times New Roman"/>
        </w:rPr>
      </w:pPr>
    </w:p>
    <w:p w14:paraId="4F4AD962" w14:textId="481B256B" w:rsidR="00866A12" w:rsidRPr="00CF392C" w:rsidRDefault="00866A12" w:rsidP="00866A12">
      <w:pPr>
        <w:pStyle w:val="Body"/>
        <w:jc w:val="both"/>
        <w:rPr>
          <w:rFonts w:cs="Times New Roman"/>
          <w:b/>
          <w:bCs/>
        </w:rPr>
      </w:pPr>
      <w:r>
        <w:rPr>
          <w:rFonts w:cs="Times New Roman"/>
          <w:b/>
          <w:bCs/>
        </w:rPr>
        <w:t xml:space="preserve">Ando </w:t>
      </w:r>
      <w:proofErr w:type="spellStart"/>
      <w:r>
        <w:rPr>
          <w:rFonts w:cs="Times New Roman"/>
          <w:b/>
          <w:bCs/>
        </w:rPr>
        <w:t>Kiviberg</w:t>
      </w:r>
      <w:proofErr w:type="spellEnd"/>
      <w:r w:rsidRPr="00CF392C">
        <w:rPr>
          <w:rFonts w:cs="Times New Roman"/>
          <w:b/>
          <w:bCs/>
        </w:rPr>
        <w:tab/>
      </w:r>
      <w:r w:rsidRPr="00CF392C">
        <w:rPr>
          <w:rFonts w:cs="Times New Roman"/>
          <w:b/>
          <w:bCs/>
        </w:rPr>
        <w:tab/>
      </w:r>
      <w:r w:rsidRPr="00CF392C">
        <w:rPr>
          <w:rFonts w:cs="Times New Roman"/>
          <w:b/>
          <w:bCs/>
        </w:rPr>
        <w:tab/>
      </w:r>
      <w:r w:rsidRPr="00CF392C">
        <w:rPr>
          <w:rFonts w:cs="Times New Roman"/>
          <w:b/>
          <w:bCs/>
        </w:rPr>
        <w:tab/>
      </w:r>
      <w:r w:rsidRPr="00CF392C">
        <w:rPr>
          <w:rFonts w:cs="Times New Roman"/>
          <w:b/>
          <w:bCs/>
        </w:rPr>
        <w:tab/>
      </w:r>
    </w:p>
    <w:p w14:paraId="05827034" w14:textId="7489A3EB" w:rsidR="00866A12" w:rsidRPr="00CF392C" w:rsidRDefault="00866A12" w:rsidP="00866A12">
      <w:pPr>
        <w:pStyle w:val="Body"/>
        <w:jc w:val="both"/>
        <w:rPr>
          <w:rFonts w:cs="Times New Roman"/>
          <w:bCs/>
          <w:color w:val="auto"/>
        </w:rPr>
      </w:pPr>
      <w:r>
        <w:rPr>
          <w:rFonts w:cs="Times New Roman"/>
        </w:rPr>
        <w:t>Riigikogu põhiseaduskomisjoni esimees</w:t>
      </w:r>
    </w:p>
    <w:p w14:paraId="78172812" w14:textId="0211A102" w:rsidR="00866A12" w:rsidRPr="00CF392C" w:rsidRDefault="00866A12" w:rsidP="00866A12">
      <w:pPr>
        <w:pStyle w:val="Body"/>
        <w:jc w:val="both"/>
        <w:rPr>
          <w:rFonts w:eastAsia="Times New Roman" w:cs="Times New Roman"/>
          <w:bCs/>
        </w:rPr>
      </w:pPr>
      <w:r>
        <w:rPr>
          <w:rFonts w:cs="Times New Roman"/>
        </w:rPr>
        <w:t>Riigikogu</w:t>
      </w:r>
      <w:r w:rsidRPr="00CF392C">
        <w:rPr>
          <w:rFonts w:cs="Times New Roman"/>
        </w:rPr>
        <w:t xml:space="preserve">                                                                    </w:t>
      </w:r>
    </w:p>
    <w:p w14:paraId="2B6928AF" w14:textId="640CEF19" w:rsidR="00866A12" w:rsidRPr="00CF392C" w:rsidRDefault="0060786C" w:rsidP="00866A12">
      <w:pPr>
        <w:pStyle w:val="Body"/>
        <w:jc w:val="both"/>
        <w:rPr>
          <w:rFonts w:cs="Times New Roman"/>
        </w:rPr>
      </w:pPr>
      <w:r>
        <w:rPr>
          <w:rFonts w:eastAsia="Times New Roman" w:cs="Times New Roman"/>
          <w:bCs/>
        </w:rPr>
        <w:t>pohiseaduskomisjon@riigikogu.ee</w:t>
      </w:r>
      <w:r w:rsidR="00866A12" w:rsidRPr="00CF392C">
        <w:rPr>
          <w:rFonts w:cs="Times New Roman"/>
          <w:color w:val="auto"/>
        </w:rPr>
        <w:tab/>
        <w:t xml:space="preserve">            </w:t>
      </w:r>
    </w:p>
    <w:p w14:paraId="7C4A9C02" w14:textId="3CF1064C" w:rsidR="00866A12" w:rsidRDefault="0060786C" w:rsidP="00866A12">
      <w:pPr>
        <w:widowControl/>
        <w:suppressAutoHyphens w:val="0"/>
        <w:spacing w:after="200"/>
        <w:rPr>
          <w:szCs w:val="24"/>
        </w:rPr>
      </w:pPr>
      <w:r>
        <w:rPr>
          <w:rFonts w:eastAsia="Arial Unicode MS"/>
          <w:szCs w:val="24"/>
          <w:bdr w:val="nil"/>
          <w14:textOutline w14:w="0" w14:cap="flat" w14:cmpd="sng" w14:algn="ctr">
            <w14:noFill/>
            <w14:prstDash w14:val="solid"/>
            <w14:bevel/>
          </w14:textOutline>
        </w:rPr>
        <w:t>erle.enneveer@riigikogu.ee</w:t>
      </w:r>
    </w:p>
    <w:p w14:paraId="609A3252" w14:textId="77777777" w:rsidR="00866A12" w:rsidRPr="00866A12" w:rsidRDefault="00866A12" w:rsidP="004946FF">
      <w:pPr>
        <w:widowControl/>
        <w:suppressAutoHyphens w:val="0"/>
        <w:spacing w:after="200"/>
        <w:rPr>
          <w:b/>
          <w:bCs/>
          <w:szCs w:val="24"/>
        </w:rPr>
      </w:pPr>
    </w:p>
    <w:p w14:paraId="3B70F82C" w14:textId="3E03319E" w:rsidR="00863E0D" w:rsidRPr="00863E0D" w:rsidRDefault="00863E0D" w:rsidP="004946FF">
      <w:pPr>
        <w:widowControl/>
        <w:suppressAutoHyphens w:val="0"/>
        <w:spacing w:after="200"/>
        <w:rPr>
          <w:b/>
          <w:bCs/>
          <w:szCs w:val="24"/>
        </w:rPr>
      </w:pPr>
      <w:r w:rsidRPr="00863E0D">
        <w:rPr>
          <w:b/>
          <w:bCs/>
          <w:szCs w:val="24"/>
        </w:rPr>
        <w:t>Korruptsioonivastase seaduse muutmise seaduse eelnõust</w:t>
      </w:r>
    </w:p>
    <w:p w14:paraId="710683CE" w14:textId="77777777" w:rsidR="00863E0D" w:rsidRDefault="00863E0D" w:rsidP="004946FF">
      <w:pPr>
        <w:widowControl/>
        <w:suppressAutoHyphens w:val="0"/>
        <w:spacing w:after="200"/>
        <w:rPr>
          <w:szCs w:val="24"/>
        </w:rPr>
      </w:pPr>
    </w:p>
    <w:p w14:paraId="00B321F6" w14:textId="67EC585B" w:rsidR="004946FF" w:rsidRDefault="008020A9" w:rsidP="004946FF">
      <w:pPr>
        <w:widowControl/>
        <w:suppressAutoHyphens w:val="0"/>
        <w:spacing w:after="200"/>
        <w:rPr>
          <w:szCs w:val="24"/>
        </w:rPr>
      </w:pPr>
      <w:r w:rsidRPr="003C36B7">
        <w:rPr>
          <w:szCs w:val="24"/>
        </w:rPr>
        <w:t>Lugupeetud</w:t>
      </w:r>
      <w:r w:rsidR="00193462" w:rsidRPr="003C36B7">
        <w:rPr>
          <w:szCs w:val="24"/>
        </w:rPr>
        <w:t xml:space="preserve"> justiits- ja digiminister</w:t>
      </w:r>
      <w:r w:rsidRPr="003C36B7">
        <w:rPr>
          <w:szCs w:val="24"/>
        </w:rPr>
        <w:t xml:space="preserve"> </w:t>
      </w:r>
      <w:proofErr w:type="spellStart"/>
      <w:r w:rsidR="00193462" w:rsidRPr="003C36B7">
        <w:rPr>
          <w:szCs w:val="24"/>
        </w:rPr>
        <w:t>Liisa-Ly</w:t>
      </w:r>
      <w:proofErr w:type="spellEnd"/>
      <w:r w:rsidR="00193462" w:rsidRPr="003C36B7">
        <w:rPr>
          <w:szCs w:val="24"/>
        </w:rPr>
        <w:t xml:space="preserve"> Pakosta</w:t>
      </w:r>
    </w:p>
    <w:p w14:paraId="0C7324B7" w14:textId="77777777" w:rsidR="001158C6" w:rsidRDefault="001158C6" w:rsidP="004946FF">
      <w:pPr>
        <w:widowControl/>
        <w:suppressAutoHyphens w:val="0"/>
        <w:spacing w:after="200"/>
        <w:rPr>
          <w:szCs w:val="24"/>
        </w:rPr>
      </w:pPr>
    </w:p>
    <w:p w14:paraId="35CD6EC2" w14:textId="1047D5B6" w:rsidR="008020A9" w:rsidRPr="00A45C9F" w:rsidRDefault="008020A9" w:rsidP="008020A9">
      <w:pPr>
        <w:widowControl/>
        <w:suppressAutoHyphens w:val="0"/>
        <w:spacing w:after="200"/>
        <w:jc w:val="both"/>
        <w:rPr>
          <w:szCs w:val="24"/>
        </w:rPr>
      </w:pPr>
      <w:r w:rsidRPr="00A45C9F">
        <w:rPr>
          <w:szCs w:val="24"/>
        </w:rPr>
        <w:t>Riigikogu menetluses on korruptsioonivastase seaduse muutmise seadus</w:t>
      </w:r>
      <w:r w:rsidR="004F0BBC" w:rsidRPr="00A45C9F">
        <w:rPr>
          <w:szCs w:val="24"/>
        </w:rPr>
        <w:t>e</w:t>
      </w:r>
      <w:r w:rsidRPr="00A45C9F">
        <w:rPr>
          <w:szCs w:val="24"/>
        </w:rPr>
        <w:t xml:space="preserve"> eelnõu (442 SE) (</w:t>
      </w:r>
      <w:r w:rsidRPr="00A45C9F">
        <w:rPr>
          <w:b/>
          <w:bCs/>
          <w:szCs w:val="24"/>
        </w:rPr>
        <w:t>eelnõu</w:t>
      </w:r>
      <w:r w:rsidRPr="00A45C9F">
        <w:rPr>
          <w:szCs w:val="24"/>
        </w:rPr>
        <w:t xml:space="preserve">). Eelnõu on tänaseks läbinud esimese lugemise. Eelnõu </w:t>
      </w:r>
      <w:r w:rsidR="00C423C0">
        <w:rPr>
          <w:szCs w:val="24"/>
        </w:rPr>
        <w:t>eesmärgiks on</w:t>
      </w:r>
      <w:r w:rsidRPr="00A45C9F">
        <w:rPr>
          <w:szCs w:val="24"/>
        </w:rPr>
        <w:t xml:space="preserve"> kaasajastada korruptsioonivastast seadust (</w:t>
      </w:r>
      <w:r w:rsidRPr="00A45C9F">
        <w:rPr>
          <w:b/>
          <w:bCs/>
          <w:szCs w:val="24"/>
        </w:rPr>
        <w:t>KVS</w:t>
      </w:r>
      <w:r w:rsidRPr="00A45C9F">
        <w:rPr>
          <w:szCs w:val="24"/>
        </w:rPr>
        <w:t xml:space="preserve">), sh täpsustada ametiisikute toimingupiirangu rikkumisega seonduvat regulatsiooni. Eelnõu seletuskirja kohaselt on tulnud ette tõlgendamisraskusi toimingupiirangu kohaldamisel, kuna lähenemine toimingupiirangule on lai. Samuti tehakse eelnõuga ettepanek erandi kehtestamiseks tervishoiutöötajatele nende rollis ametiisikuna. </w:t>
      </w:r>
    </w:p>
    <w:p w14:paraId="13AB7A54" w14:textId="3052E375" w:rsidR="004D619B" w:rsidRPr="00A45C9F" w:rsidRDefault="2D67C2C4" w:rsidP="004D619B">
      <w:pPr>
        <w:widowControl/>
        <w:suppressAutoHyphens w:val="0"/>
        <w:spacing w:after="200"/>
        <w:jc w:val="both"/>
      </w:pPr>
      <w:r>
        <w:t xml:space="preserve">Eesti Advokatuur soovib juhtida tähelepanu </w:t>
      </w:r>
      <w:r w:rsidR="00A05A33">
        <w:t xml:space="preserve">olulistele </w:t>
      </w:r>
      <w:r>
        <w:t xml:space="preserve">puudustele </w:t>
      </w:r>
      <w:r w:rsidR="5AEFB3AF">
        <w:t>KVS-i</w:t>
      </w:r>
      <w:r>
        <w:t xml:space="preserve"> rakendamisel, mis </w:t>
      </w:r>
      <w:r w:rsidR="04109B13">
        <w:t>nõuavad</w:t>
      </w:r>
      <w:r>
        <w:t xml:space="preserve"> meie hinnangul tähelepanu </w:t>
      </w:r>
      <w:r w:rsidR="04109B13">
        <w:t xml:space="preserve">ka </w:t>
      </w:r>
      <w:r>
        <w:t xml:space="preserve">seaduse muutmisel. </w:t>
      </w:r>
    </w:p>
    <w:p w14:paraId="5B00854E" w14:textId="35E9A69A" w:rsidR="004D619B" w:rsidRPr="00A45C9F" w:rsidRDefault="00A05A33" w:rsidP="004D619B">
      <w:pPr>
        <w:widowControl/>
        <w:suppressAutoHyphens w:val="0"/>
        <w:spacing w:after="200"/>
        <w:jc w:val="both"/>
      </w:pPr>
      <w:r w:rsidRPr="00FD2CAC">
        <w:rPr>
          <w:b/>
          <w:bCs/>
        </w:rPr>
        <w:t xml:space="preserve">Kokkuvõtvalt oleme seisukohal, et kehtiva KVS-i </w:t>
      </w:r>
      <w:r w:rsidR="004D619B" w:rsidRPr="00FD2CAC">
        <w:rPr>
          <w:b/>
          <w:bCs/>
        </w:rPr>
        <w:t>ja</w:t>
      </w:r>
      <w:r w:rsidRPr="00FD2CAC">
        <w:rPr>
          <w:b/>
          <w:bCs/>
        </w:rPr>
        <w:t xml:space="preserve"> </w:t>
      </w:r>
      <w:r w:rsidR="7B904294" w:rsidRPr="4ECD98AF">
        <w:rPr>
          <w:b/>
          <w:bCs/>
        </w:rPr>
        <w:t xml:space="preserve">ka </w:t>
      </w:r>
      <w:r w:rsidRPr="00FD2CAC">
        <w:rPr>
          <w:b/>
          <w:bCs/>
        </w:rPr>
        <w:t>eelnõu suurim puudus on nendes toodud mõistete</w:t>
      </w:r>
      <w:r w:rsidR="004D619B" w:rsidRPr="00FD2CAC">
        <w:rPr>
          <w:b/>
          <w:bCs/>
        </w:rPr>
        <w:t>,</w:t>
      </w:r>
      <w:r w:rsidRPr="00FD2CAC">
        <w:rPr>
          <w:b/>
          <w:bCs/>
        </w:rPr>
        <w:t xml:space="preserve"> toimingupiirangute</w:t>
      </w:r>
      <w:r w:rsidR="004D619B" w:rsidRPr="00FD2CAC">
        <w:rPr>
          <w:b/>
          <w:bCs/>
        </w:rPr>
        <w:t xml:space="preserve"> ja üldisemalt karistatavuseelduste</w:t>
      </w:r>
      <w:r w:rsidRPr="00FD2CAC">
        <w:rPr>
          <w:b/>
          <w:bCs/>
        </w:rPr>
        <w:t xml:space="preserve"> mittevastavus määratletuse põhimõttele. Arvestades, et KVS sisaldab karistusnorme, </w:t>
      </w:r>
      <w:r w:rsidR="004D619B" w:rsidRPr="00FD2CAC">
        <w:rPr>
          <w:b/>
          <w:bCs/>
        </w:rPr>
        <w:t>peavad need olema sedavõrd selged, et igaühel on võimalik ette näha, milline käitumine on keelatud ja karistatav. KVS ja eelnõu sellele põhimõttele ei vasta. Juhul, kui seaduse täpsustamist ei peeta võimalikuks, tuleks advokaadid sarnaselt tervishoiuteenuse osutajatega välistada KVS-i rakendusalast. Advokaatide tegevus on reguleeritud advokatuuriseadusega</w:t>
      </w:r>
      <w:r w:rsidR="7F768237" w:rsidRPr="00FD2CAC">
        <w:rPr>
          <w:b/>
          <w:bCs/>
        </w:rPr>
        <w:t xml:space="preserve"> (</w:t>
      </w:r>
      <w:proofErr w:type="spellStart"/>
      <w:r w:rsidR="7F768237" w:rsidRPr="00FD2CAC">
        <w:rPr>
          <w:b/>
          <w:bCs/>
        </w:rPr>
        <w:t>AdvS</w:t>
      </w:r>
      <w:proofErr w:type="spellEnd"/>
      <w:r w:rsidR="7F768237" w:rsidRPr="00FD2CAC">
        <w:rPr>
          <w:b/>
          <w:bCs/>
        </w:rPr>
        <w:t>)</w:t>
      </w:r>
      <w:r w:rsidR="004D619B" w:rsidRPr="00FD2CAC">
        <w:rPr>
          <w:b/>
          <w:bCs/>
        </w:rPr>
        <w:t>, mis sisaldab nii kutseala tagatisi, nõudeid õigusteenuse osutamisele ja huvide konfliktide vältimisele kui ka regulatsioone, mis tagavad tõhusa järelevalve nende nõuete täitmise üle</w:t>
      </w:r>
      <w:r w:rsidR="004D619B">
        <w:t xml:space="preserve">. </w:t>
      </w:r>
    </w:p>
    <w:p w14:paraId="23BB4C88" w14:textId="7680A2BE" w:rsidR="0049CDE2" w:rsidRDefault="0049CDE2" w:rsidP="4ECD98AF">
      <w:pPr>
        <w:widowControl/>
        <w:spacing w:after="200"/>
        <w:jc w:val="both"/>
      </w:pPr>
      <w:r>
        <w:lastRenderedPageBreak/>
        <w:t xml:space="preserve">Alljärgnevalt põhjendame oma seisukohti täpsemalt. </w:t>
      </w:r>
    </w:p>
    <w:p w14:paraId="3829256B" w14:textId="45C7BD6B" w:rsidR="001F19D4" w:rsidRPr="00A45C9F" w:rsidRDefault="003403F2" w:rsidP="001F19D4">
      <w:pPr>
        <w:pStyle w:val="Heading1"/>
        <w:numPr>
          <w:ilvl w:val="0"/>
          <w:numId w:val="2"/>
        </w:numPr>
        <w:rPr>
          <w:rFonts w:ascii="Times New Roman" w:hAnsi="Times New Roman" w:cs="Times New Roman"/>
          <w:sz w:val="24"/>
          <w:szCs w:val="24"/>
        </w:rPr>
      </w:pPr>
      <w:r w:rsidRPr="00A45C9F">
        <w:rPr>
          <w:rFonts w:ascii="Times New Roman" w:hAnsi="Times New Roman" w:cs="Times New Roman"/>
          <w:sz w:val="24"/>
          <w:szCs w:val="24"/>
        </w:rPr>
        <w:t>A</w:t>
      </w:r>
      <w:r w:rsidR="00E263F1" w:rsidRPr="00A45C9F">
        <w:rPr>
          <w:rFonts w:ascii="Times New Roman" w:hAnsi="Times New Roman" w:cs="Times New Roman"/>
          <w:sz w:val="24"/>
          <w:szCs w:val="24"/>
        </w:rPr>
        <w:t>metiseisundi</w:t>
      </w:r>
      <w:r w:rsidRPr="00A45C9F">
        <w:rPr>
          <w:rFonts w:ascii="Times New Roman" w:hAnsi="Times New Roman" w:cs="Times New Roman"/>
          <w:sz w:val="24"/>
          <w:szCs w:val="24"/>
        </w:rPr>
        <w:t xml:space="preserve"> </w:t>
      </w:r>
      <w:r w:rsidR="00E263F1" w:rsidRPr="00A45C9F">
        <w:rPr>
          <w:rFonts w:ascii="Times New Roman" w:hAnsi="Times New Roman" w:cs="Times New Roman"/>
          <w:sz w:val="24"/>
          <w:szCs w:val="24"/>
        </w:rPr>
        <w:t>määratlus KVS-</w:t>
      </w:r>
      <w:proofErr w:type="spellStart"/>
      <w:r w:rsidR="00E263F1" w:rsidRPr="00A45C9F">
        <w:rPr>
          <w:rFonts w:ascii="Times New Roman" w:hAnsi="Times New Roman" w:cs="Times New Roman"/>
          <w:sz w:val="24"/>
          <w:szCs w:val="24"/>
        </w:rPr>
        <w:t>is</w:t>
      </w:r>
      <w:proofErr w:type="spellEnd"/>
      <w:r w:rsidR="00E263F1" w:rsidRPr="00A45C9F">
        <w:rPr>
          <w:rFonts w:ascii="Times New Roman" w:hAnsi="Times New Roman" w:cs="Times New Roman"/>
          <w:sz w:val="24"/>
          <w:szCs w:val="24"/>
        </w:rPr>
        <w:t xml:space="preserve"> ning seotus advokaadi kutsetegevusega</w:t>
      </w:r>
    </w:p>
    <w:p w14:paraId="19CA85D3" w14:textId="77777777" w:rsidR="001F19D4" w:rsidRPr="00A45C9F" w:rsidRDefault="001F19D4" w:rsidP="001F19D4">
      <w:pPr>
        <w:rPr>
          <w:szCs w:val="24"/>
        </w:rPr>
      </w:pPr>
    </w:p>
    <w:p w14:paraId="0C96A5A8" w14:textId="6D81C85B" w:rsidR="001F19D4" w:rsidRPr="00A45C9F" w:rsidRDefault="001F19D4" w:rsidP="00E357D0">
      <w:pPr>
        <w:jc w:val="both"/>
        <w:rPr>
          <w:szCs w:val="24"/>
        </w:rPr>
      </w:pPr>
      <w:r w:rsidRPr="00A45C9F">
        <w:rPr>
          <w:szCs w:val="24"/>
        </w:rPr>
        <w:t>KVS-i reguleerimisalaks vastavalt selle paragrahvile 1 on sätestada  </w:t>
      </w:r>
      <w:r w:rsidRPr="00A45C9F">
        <w:rPr>
          <w:b/>
          <w:bCs/>
          <w:szCs w:val="24"/>
        </w:rPr>
        <w:t>avaliku ülesande</w:t>
      </w:r>
      <w:r w:rsidRPr="00A45C9F">
        <w:rPr>
          <w:szCs w:val="24"/>
        </w:rPr>
        <w:t xml:space="preserve"> täitmisel korruptsiooni ennetamise õiguslikud alused ja vastutus kehtestatud kohustuste rikkumise eest. Avaliku ülesande täitmisest lähtub ka KVS-</w:t>
      </w:r>
      <w:proofErr w:type="spellStart"/>
      <w:r w:rsidRPr="00A45C9F">
        <w:rPr>
          <w:szCs w:val="24"/>
        </w:rPr>
        <w:t>is</w:t>
      </w:r>
      <w:proofErr w:type="spellEnd"/>
      <w:r w:rsidRPr="00A45C9F">
        <w:rPr>
          <w:szCs w:val="24"/>
        </w:rPr>
        <w:t xml:space="preserve"> toodud toimingupiirangute regulatsioon. Nimelt kohalduvad toimingupiirangud ametiisikutele (KVS § 10). Ametiisiku </w:t>
      </w:r>
      <w:r w:rsidR="00E357D0" w:rsidRPr="00A45C9F">
        <w:rPr>
          <w:szCs w:val="24"/>
        </w:rPr>
        <w:t>määratlus lähtub ametiseisundist (KVS § 2 lg 1). Ametiseisund lähtub omakorda õigusest ja kohustusest teha avaliku ülesande täitmisel otsus või toiming või osaleda selles või selle suunamises. Eelnevast järeldub, et toimingupiirangu regulatsiooni kohaldamise lähtepunktiks on osalemine avaliku ülesande täitmisel.</w:t>
      </w:r>
    </w:p>
    <w:p w14:paraId="0B08CCC4" w14:textId="5475001D" w:rsidR="00F22609" w:rsidRPr="00A45C9F" w:rsidRDefault="00F22609" w:rsidP="00F22609">
      <w:pPr>
        <w:pStyle w:val="Heading1"/>
        <w:numPr>
          <w:ilvl w:val="1"/>
          <w:numId w:val="2"/>
        </w:numPr>
        <w:rPr>
          <w:rFonts w:ascii="Times New Roman" w:hAnsi="Times New Roman" w:cs="Times New Roman"/>
          <w:sz w:val="24"/>
          <w:szCs w:val="24"/>
        </w:rPr>
      </w:pPr>
      <w:r w:rsidRPr="00A45C9F">
        <w:rPr>
          <w:rFonts w:ascii="Times New Roman" w:hAnsi="Times New Roman" w:cs="Times New Roman"/>
          <w:sz w:val="24"/>
          <w:szCs w:val="24"/>
        </w:rPr>
        <w:t>Avaliku ülesande täitmisel osalemine kui üldine eeldus</w:t>
      </w:r>
      <w:r w:rsidR="00E263F1" w:rsidRPr="00A45C9F">
        <w:rPr>
          <w:rFonts w:ascii="Times New Roman" w:hAnsi="Times New Roman" w:cs="Times New Roman"/>
          <w:sz w:val="24"/>
          <w:szCs w:val="24"/>
        </w:rPr>
        <w:t xml:space="preserve"> </w:t>
      </w:r>
    </w:p>
    <w:p w14:paraId="036EA132" w14:textId="77777777" w:rsidR="001F19D4" w:rsidRPr="00A45C9F" w:rsidRDefault="001F19D4" w:rsidP="001F19D4">
      <w:pPr>
        <w:rPr>
          <w:szCs w:val="24"/>
        </w:rPr>
      </w:pPr>
    </w:p>
    <w:p w14:paraId="6EC27804" w14:textId="3D561553" w:rsidR="001F19D4" w:rsidRPr="003C36B7" w:rsidRDefault="001F19D4" w:rsidP="003C36B7">
      <w:pPr>
        <w:jc w:val="both"/>
        <w:rPr>
          <w:bCs/>
          <w:iCs/>
          <w:szCs w:val="24"/>
        </w:rPr>
      </w:pPr>
      <w:bookmarkStart w:id="0" w:name="_Ref97539942"/>
      <w:r w:rsidRPr="00A45C9F">
        <w:rPr>
          <w:bCs/>
          <w:iCs/>
          <w:szCs w:val="24"/>
        </w:rPr>
        <w:t>Avalikke ülesandeid (haldusülesandeid) võib õiguslikult määratleda kui vahetult seadusega või seaduse alusel haldusinstitutsioonidele pandud ülesandeid või ülesandeid, mis on tõlgendamise teel vastavast õigusnormist tuletatud.</w:t>
      </w:r>
      <w:r w:rsidRPr="00A45C9F">
        <w:rPr>
          <w:bCs/>
          <w:iCs/>
          <w:szCs w:val="24"/>
          <w:vertAlign w:val="superscript"/>
        </w:rPr>
        <w:footnoteReference w:id="1"/>
      </w:r>
      <w:r w:rsidRPr="00A45C9F">
        <w:rPr>
          <w:bCs/>
          <w:iCs/>
          <w:szCs w:val="24"/>
        </w:rPr>
        <w:t xml:space="preserve"> Tegemist on nn institutsionaalse määratlusega, mille puhul eeldatakse, et tegemist on avaliku ülesandega, kui selle täitmine on pandud avaliku võimu kohustuseks. Lisaks institutsionaalsele määratlusele lähtutakse</w:t>
      </w:r>
      <w:r w:rsidR="00866E49" w:rsidRPr="00A45C9F">
        <w:rPr>
          <w:bCs/>
          <w:iCs/>
          <w:szCs w:val="24"/>
        </w:rPr>
        <w:t xml:space="preserve"> ka</w:t>
      </w:r>
      <w:r w:rsidRPr="00A45C9F">
        <w:rPr>
          <w:bCs/>
          <w:iCs/>
          <w:szCs w:val="24"/>
        </w:rPr>
        <w:t xml:space="preserve"> funktsionaalsest määratlusest, mille kohaselt avalik ülesanne on see, mis on oma olemuselt omistatav avalikule, mitte erasfäärile. </w:t>
      </w:r>
      <w:r w:rsidR="00E357D0" w:rsidRPr="00A45C9F">
        <w:rPr>
          <w:bCs/>
          <w:iCs/>
          <w:szCs w:val="24"/>
        </w:rPr>
        <w:t xml:space="preserve">Selliselt võib juhtuda, et ka </w:t>
      </w:r>
      <w:r w:rsidR="00BC413A" w:rsidRPr="00A45C9F">
        <w:rPr>
          <w:bCs/>
          <w:iCs/>
          <w:szCs w:val="24"/>
        </w:rPr>
        <w:t>erasfääri</w:t>
      </w:r>
      <w:r w:rsidR="00866E49" w:rsidRPr="00A45C9F">
        <w:rPr>
          <w:bCs/>
          <w:iCs/>
          <w:szCs w:val="24"/>
        </w:rPr>
        <w:t>s</w:t>
      </w:r>
      <w:r w:rsidR="00BC413A" w:rsidRPr="00A45C9F">
        <w:rPr>
          <w:bCs/>
          <w:iCs/>
          <w:szCs w:val="24"/>
        </w:rPr>
        <w:t xml:space="preserve"> </w:t>
      </w:r>
      <w:r w:rsidR="00866E49" w:rsidRPr="00A45C9F">
        <w:rPr>
          <w:bCs/>
          <w:iCs/>
          <w:szCs w:val="24"/>
        </w:rPr>
        <w:t xml:space="preserve">tegutsev isik, nt advokaat võib teatud tingimustel osaleda </w:t>
      </w:r>
      <w:r w:rsidR="00BC413A" w:rsidRPr="00A45C9F">
        <w:rPr>
          <w:bCs/>
          <w:iCs/>
          <w:szCs w:val="24"/>
        </w:rPr>
        <w:t>avaliku ülesande täitmi</w:t>
      </w:r>
      <w:r w:rsidR="00866E49" w:rsidRPr="00A45C9F">
        <w:rPr>
          <w:bCs/>
          <w:iCs/>
          <w:szCs w:val="24"/>
        </w:rPr>
        <w:t>sel.</w:t>
      </w:r>
      <w:r w:rsidR="00833EF8" w:rsidRPr="00A45C9F">
        <w:rPr>
          <w:bCs/>
          <w:iCs/>
          <w:szCs w:val="24"/>
        </w:rPr>
        <w:t xml:space="preserve"> </w:t>
      </w:r>
      <w:r w:rsidR="00833EF8" w:rsidRPr="00A45C9F">
        <w:rPr>
          <w:rFonts w:eastAsia="Times New Roman"/>
          <w:szCs w:val="24"/>
        </w:rPr>
        <w:t>Funktsionaalset tõlgendust toetab ka Riigikohtu praktika, millest nähtub, et ametiisiku staatuse üle otsustamisel on määravaks, kas etteheidetav tegu on pandud toime avalikke ülesandeid täites või mitte</w:t>
      </w:r>
      <w:r w:rsidR="007E1E8A">
        <w:rPr>
          <w:rFonts w:eastAsia="Times New Roman"/>
          <w:szCs w:val="24"/>
        </w:rPr>
        <w:t>.</w:t>
      </w:r>
      <w:r w:rsidR="008657EC">
        <w:rPr>
          <w:rStyle w:val="FootnoteReference"/>
          <w:rFonts w:eastAsia="Times New Roman"/>
          <w:szCs w:val="24"/>
        </w:rPr>
        <w:footnoteReference w:id="2"/>
      </w:r>
      <w:bookmarkEnd w:id="0"/>
    </w:p>
    <w:p w14:paraId="3E6DC753" w14:textId="2A07B2B9" w:rsidR="00F22609" w:rsidRPr="00A45C9F" w:rsidRDefault="00F22609" w:rsidP="00F22609">
      <w:pPr>
        <w:pStyle w:val="Heading1"/>
        <w:numPr>
          <w:ilvl w:val="1"/>
          <w:numId w:val="2"/>
        </w:numPr>
        <w:rPr>
          <w:rFonts w:ascii="Times New Roman" w:hAnsi="Times New Roman" w:cs="Times New Roman"/>
          <w:sz w:val="24"/>
          <w:szCs w:val="24"/>
        </w:rPr>
      </w:pPr>
      <w:r w:rsidRPr="00A45C9F">
        <w:rPr>
          <w:rFonts w:ascii="Times New Roman" w:hAnsi="Times New Roman" w:cs="Times New Roman"/>
          <w:sz w:val="24"/>
          <w:szCs w:val="24"/>
        </w:rPr>
        <w:t>Õigus osaleda toimingu tegemisel, sh osaleda selle sisulisel suunamisel</w:t>
      </w:r>
    </w:p>
    <w:p w14:paraId="288E247D" w14:textId="77777777" w:rsidR="008B44AA" w:rsidRPr="00A45C9F" w:rsidRDefault="008B44AA" w:rsidP="008B44AA">
      <w:pPr>
        <w:rPr>
          <w:szCs w:val="24"/>
        </w:rPr>
      </w:pPr>
    </w:p>
    <w:p w14:paraId="2F26AE03" w14:textId="0AFC4054" w:rsidR="00866E49" w:rsidRPr="00A45C9F" w:rsidRDefault="5D24A098" w:rsidP="009A2B54">
      <w:pPr>
        <w:jc w:val="both"/>
        <w:rPr>
          <w:szCs w:val="24"/>
        </w:rPr>
      </w:pPr>
      <w:r w:rsidRPr="00A45C9F">
        <w:rPr>
          <w:szCs w:val="24"/>
        </w:rPr>
        <w:t xml:space="preserve">Ametiseisund võib KVS § 2 lg 2 kohaselt </w:t>
      </w:r>
      <w:r w:rsidR="4B1FD5F4" w:rsidRPr="00A45C9F">
        <w:rPr>
          <w:szCs w:val="24"/>
        </w:rPr>
        <w:t xml:space="preserve">seisneda </w:t>
      </w:r>
      <w:r w:rsidR="492CA2D6" w:rsidRPr="00A45C9F">
        <w:rPr>
          <w:szCs w:val="24"/>
        </w:rPr>
        <w:t>mh</w:t>
      </w:r>
      <w:r w:rsidR="4B1FD5F4" w:rsidRPr="00A45C9F">
        <w:rPr>
          <w:szCs w:val="24"/>
        </w:rPr>
        <w:t xml:space="preserve"> õigusaktist, </w:t>
      </w:r>
      <w:r w:rsidR="4B1FD5F4" w:rsidRPr="00A45C9F">
        <w:rPr>
          <w:b/>
          <w:bCs/>
          <w:szCs w:val="24"/>
        </w:rPr>
        <w:t>tehingust</w:t>
      </w:r>
      <w:r w:rsidR="4B1FD5F4" w:rsidRPr="00A45C9F">
        <w:rPr>
          <w:szCs w:val="24"/>
        </w:rPr>
        <w:t xml:space="preserve"> või asutuse töökorraldusest tulenevas õiguses ja kohustuses</w:t>
      </w:r>
      <w:r w:rsidR="4B1FD5F4" w:rsidRPr="00A45C9F">
        <w:rPr>
          <w:b/>
          <w:bCs/>
          <w:szCs w:val="24"/>
        </w:rPr>
        <w:t xml:space="preserve"> avaliku ülesande </w:t>
      </w:r>
      <w:r w:rsidR="4B1FD5F4" w:rsidRPr="00A45C9F">
        <w:rPr>
          <w:szCs w:val="24"/>
        </w:rPr>
        <w:t>täitmisel:</w:t>
      </w:r>
    </w:p>
    <w:p w14:paraId="00599645" w14:textId="61EC2842" w:rsidR="00866E49" w:rsidRPr="00A45C9F" w:rsidRDefault="00866E49" w:rsidP="009A2B54">
      <w:pPr>
        <w:pStyle w:val="ListParagraph"/>
        <w:numPr>
          <w:ilvl w:val="0"/>
          <w:numId w:val="3"/>
        </w:numPr>
        <w:jc w:val="both"/>
        <w:rPr>
          <w:b/>
          <w:bCs/>
          <w:szCs w:val="24"/>
        </w:rPr>
      </w:pPr>
      <w:r w:rsidRPr="00A45C9F">
        <w:rPr>
          <w:b/>
          <w:bCs/>
          <w:szCs w:val="24"/>
        </w:rPr>
        <w:t>teha</w:t>
      </w:r>
      <w:r w:rsidRPr="00A45C9F">
        <w:rPr>
          <w:szCs w:val="24"/>
        </w:rPr>
        <w:t xml:space="preserve"> </w:t>
      </w:r>
      <w:r w:rsidRPr="00A45C9F">
        <w:rPr>
          <w:b/>
          <w:bCs/>
          <w:szCs w:val="24"/>
        </w:rPr>
        <w:t>otsus</w:t>
      </w:r>
      <w:r w:rsidRPr="00A45C9F">
        <w:rPr>
          <w:szCs w:val="24"/>
        </w:rPr>
        <w:t xml:space="preserve">, sealhulgas </w:t>
      </w:r>
      <w:r w:rsidRPr="00A45C9F">
        <w:rPr>
          <w:b/>
          <w:bCs/>
          <w:szCs w:val="24"/>
        </w:rPr>
        <w:t>osaleda selle tegemises või selle sisulises suunamises.</w:t>
      </w:r>
      <w:r w:rsidRPr="00A45C9F">
        <w:rPr>
          <w:szCs w:val="24"/>
        </w:rPr>
        <w:t xml:space="preserve"> Otsus on teise isiku, sealhulgas avalikku ülesannet täitva asutuse õiguse või kohustuse tekitamisele, muutmisele või lõpetamisele suunatud otsustus, millega reguleeritakse üksikjuhtumit või piiritlemata arvu juhtusid, </w:t>
      </w:r>
      <w:r w:rsidRPr="00A45C9F">
        <w:rPr>
          <w:b/>
          <w:bCs/>
          <w:szCs w:val="24"/>
        </w:rPr>
        <w:t xml:space="preserve">sealhulgas õiguse </w:t>
      </w:r>
      <w:proofErr w:type="spellStart"/>
      <w:r w:rsidRPr="00A45C9F">
        <w:rPr>
          <w:b/>
          <w:bCs/>
          <w:szCs w:val="24"/>
        </w:rPr>
        <w:t>üldakt</w:t>
      </w:r>
      <w:proofErr w:type="spellEnd"/>
      <w:r w:rsidRPr="00A45C9F">
        <w:rPr>
          <w:b/>
          <w:bCs/>
          <w:szCs w:val="24"/>
        </w:rPr>
        <w:t>, haldusakt</w:t>
      </w:r>
      <w:r w:rsidRPr="00A45C9F">
        <w:rPr>
          <w:szCs w:val="24"/>
        </w:rPr>
        <w:t xml:space="preserve"> haldusmenetluse seaduse tähenduses, kohtulahend, samuti </w:t>
      </w:r>
      <w:r w:rsidRPr="00A45C9F">
        <w:rPr>
          <w:b/>
          <w:bCs/>
          <w:szCs w:val="24"/>
        </w:rPr>
        <w:t xml:space="preserve">asutuse </w:t>
      </w:r>
      <w:proofErr w:type="spellStart"/>
      <w:r w:rsidRPr="00A45C9F">
        <w:rPr>
          <w:b/>
          <w:bCs/>
          <w:szCs w:val="24"/>
        </w:rPr>
        <w:t>siseakt</w:t>
      </w:r>
      <w:proofErr w:type="spellEnd"/>
      <w:r w:rsidRPr="00A45C9F">
        <w:rPr>
          <w:szCs w:val="24"/>
        </w:rPr>
        <w:t>;</w:t>
      </w:r>
    </w:p>
    <w:p w14:paraId="698C70C6" w14:textId="1AB2FE24" w:rsidR="00866E49" w:rsidRPr="00A45C9F" w:rsidRDefault="00866E49" w:rsidP="009A2B54">
      <w:pPr>
        <w:pStyle w:val="ListParagraph"/>
        <w:numPr>
          <w:ilvl w:val="0"/>
          <w:numId w:val="3"/>
        </w:numPr>
        <w:jc w:val="both"/>
        <w:rPr>
          <w:szCs w:val="24"/>
        </w:rPr>
      </w:pPr>
      <w:r w:rsidRPr="00A45C9F">
        <w:rPr>
          <w:b/>
          <w:bCs/>
          <w:szCs w:val="24"/>
        </w:rPr>
        <w:t>teha</w:t>
      </w:r>
      <w:r w:rsidRPr="00A45C9F">
        <w:rPr>
          <w:szCs w:val="24"/>
        </w:rPr>
        <w:t xml:space="preserve"> </w:t>
      </w:r>
      <w:r w:rsidRPr="00A45C9F">
        <w:rPr>
          <w:b/>
          <w:bCs/>
          <w:szCs w:val="24"/>
        </w:rPr>
        <w:t>toiming</w:t>
      </w:r>
      <w:r w:rsidRPr="00A45C9F">
        <w:rPr>
          <w:szCs w:val="24"/>
        </w:rPr>
        <w:t xml:space="preserve">, sealhulgas </w:t>
      </w:r>
      <w:r w:rsidRPr="00A45C9F">
        <w:rPr>
          <w:b/>
          <w:bCs/>
          <w:szCs w:val="24"/>
        </w:rPr>
        <w:t>osaleda</w:t>
      </w:r>
      <w:r w:rsidRPr="00A45C9F">
        <w:rPr>
          <w:szCs w:val="24"/>
        </w:rPr>
        <w:t xml:space="preserve"> </w:t>
      </w:r>
      <w:r w:rsidRPr="00A45C9F">
        <w:rPr>
          <w:b/>
          <w:bCs/>
          <w:szCs w:val="24"/>
        </w:rPr>
        <w:t>selles või</w:t>
      </w:r>
      <w:r w:rsidRPr="00A45C9F">
        <w:rPr>
          <w:szCs w:val="24"/>
        </w:rPr>
        <w:t xml:space="preserve"> </w:t>
      </w:r>
      <w:r w:rsidRPr="00A45C9F">
        <w:rPr>
          <w:b/>
          <w:bCs/>
          <w:szCs w:val="24"/>
        </w:rPr>
        <w:t>selle sisulises suunamises</w:t>
      </w:r>
      <w:r w:rsidRPr="00A45C9F">
        <w:rPr>
          <w:szCs w:val="24"/>
        </w:rPr>
        <w:t>. Toiming on teisele isikule, sealhulgas avalikku ülesannet täitvale asutusele õiguslikku või vältimatut faktilist tagajärge põhjustav tegevus, mis ei ole otsuse tegemine. Toiming võib seisneda ka menetlustoimingu tegemises, tegevusetuses või viivituses.</w:t>
      </w:r>
    </w:p>
    <w:p w14:paraId="3380FD9E" w14:textId="77777777" w:rsidR="00866E49" w:rsidRPr="00A45C9F" w:rsidRDefault="00866E49" w:rsidP="009A2B54">
      <w:pPr>
        <w:jc w:val="both"/>
        <w:rPr>
          <w:szCs w:val="24"/>
        </w:rPr>
      </w:pPr>
    </w:p>
    <w:p w14:paraId="5EF625D1" w14:textId="625585B7" w:rsidR="00134CE8" w:rsidRDefault="4B1FD5F4" w:rsidP="009A2B54">
      <w:pPr>
        <w:jc w:val="both"/>
      </w:pPr>
      <w:r>
        <w:t>Eelnevast järeldub, et</w:t>
      </w:r>
      <w:r w:rsidR="207C7376">
        <w:t xml:space="preserve"> ka</w:t>
      </w:r>
      <w:r>
        <w:t xml:space="preserve"> KVS-i kohald</w:t>
      </w:r>
      <w:r w:rsidR="1560C836">
        <w:t>a</w:t>
      </w:r>
      <w:r>
        <w:t>misel</w:t>
      </w:r>
      <w:r w:rsidR="10E07FD9">
        <w:t xml:space="preserve"> ja ametiseisundi sisustamisel</w:t>
      </w:r>
      <w:r>
        <w:t xml:space="preserve"> ei ole määravaks mitte institutsionaalne, vaid funktsionaalne aspekt</w:t>
      </w:r>
      <w:r w:rsidR="492CA2D6">
        <w:t>, s.o oluline ei ole ametiisikuna käsitatava isiku kuulumine avalikku võimu teostavasse organisatsiooni.</w:t>
      </w:r>
      <w:r>
        <w:t xml:space="preserve"> </w:t>
      </w:r>
      <w:r w:rsidR="61EB2763">
        <w:t>KVS-i kohaldamisalasse võib sattuda advokaat tulenevalt avalik</w:t>
      </w:r>
      <w:r w:rsidR="1330B19D">
        <w:t>k</w:t>
      </w:r>
      <w:r w:rsidR="61EB2763">
        <w:t>u ülesannet täitva asutusega kliendisuhte loomisest. Ametiseisund või</w:t>
      </w:r>
      <w:r w:rsidR="00B638B1">
        <w:t>ks</w:t>
      </w:r>
      <w:r w:rsidR="61EB2763">
        <w:t xml:space="preserve"> </w:t>
      </w:r>
      <w:r w:rsidR="00FE7F2E">
        <w:t>põhimõtteliselt</w:t>
      </w:r>
      <w:r w:rsidR="00B638B1">
        <w:t xml:space="preserve"> </w:t>
      </w:r>
      <w:r w:rsidR="61EB2763">
        <w:t>tekkida pelgalt seetõttu, et advokaadi poolt osutatava õigusteenuse sisuks on</w:t>
      </w:r>
      <w:r w:rsidR="53F4CB9C">
        <w:t xml:space="preserve"> ametiasutuse </w:t>
      </w:r>
      <w:r w:rsidR="7E1EFEF0">
        <w:t xml:space="preserve">jooksev </w:t>
      </w:r>
      <w:r w:rsidR="53F4CB9C">
        <w:t>nõustamine või</w:t>
      </w:r>
      <w:r w:rsidR="44ABF010">
        <w:t xml:space="preserve"> nt</w:t>
      </w:r>
      <w:r w:rsidR="61EB2763">
        <w:t xml:space="preserve"> õigusliku analüüsi koostamine</w:t>
      </w:r>
      <w:r w:rsidR="00FE7F2E">
        <w:t xml:space="preserve">. </w:t>
      </w:r>
    </w:p>
    <w:p w14:paraId="60F5C4CF" w14:textId="014629BB" w:rsidR="00866E49" w:rsidRPr="00A45C9F" w:rsidRDefault="00FE7F2E" w:rsidP="009A2B54">
      <w:pPr>
        <w:jc w:val="both"/>
        <w:rPr>
          <w:szCs w:val="24"/>
        </w:rPr>
      </w:pPr>
      <w:r w:rsidRPr="58CC08EC">
        <w:t>Tõsi,</w:t>
      </w:r>
      <w:r w:rsidR="00134CE8" w:rsidRPr="58CC08EC">
        <w:t xml:space="preserve"> Riigikohtu hiljutise otsuse kohaselt peab</w:t>
      </w:r>
      <w:r w:rsidRPr="58CC08EC">
        <w:t xml:space="preserve"> õigusteenuse osutamisel avalikus sektoris </w:t>
      </w:r>
      <w:r w:rsidRPr="58CC08EC">
        <w:lastRenderedPageBreak/>
        <w:t>advokaadi tegevus ületama ka teatud „lävendi“.</w:t>
      </w:r>
      <w:r w:rsidRPr="58CC08EC">
        <w:rPr>
          <w:vertAlign w:val="superscript"/>
        </w:rPr>
        <w:t xml:space="preserve"> </w:t>
      </w:r>
      <w:r w:rsidRPr="58CC08EC">
        <w:rPr>
          <w:vertAlign w:val="superscript"/>
        </w:rPr>
        <w:footnoteReference w:id="3"/>
      </w:r>
      <w:r w:rsidRPr="00A45C9F">
        <w:rPr>
          <w:szCs w:val="24"/>
        </w:rPr>
        <w:t xml:space="preserve"> </w:t>
      </w:r>
      <w:r w:rsidR="00134CE8">
        <w:rPr>
          <w:szCs w:val="24"/>
        </w:rPr>
        <w:t>Samas</w:t>
      </w:r>
      <w:r w:rsidR="00134CE8" w:rsidRPr="00A45C9F">
        <w:rPr>
          <w:szCs w:val="24"/>
        </w:rPr>
        <w:t xml:space="preserve"> </w:t>
      </w:r>
      <w:r w:rsidRPr="00A45C9F">
        <w:rPr>
          <w:szCs w:val="24"/>
        </w:rPr>
        <w:t xml:space="preserve">puudub aga igasugune selgus, milles </w:t>
      </w:r>
      <w:r w:rsidR="001634C1" w:rsidRPr="00A45C9F">
        <w:rPr>
          <w:szCs w:val="24"/>
        </w:rPr>
        <w:t>Riigikohtu viidatud</w:t>
      </w:r>
      <w:r w:rsidRPr="00A45C9F">
        <w:rPr>
          <w:szCs w:val="24"/>
        </w:rPr>
        <w:t xml:space="preserve"> „lävend“ seisneb ja millal muutub </w:t>
      </w:r>
      <w:r w:rsidR="001634C1" w:rsidRPr="00A45C9F">
        <w:rPr>
          <w:szCs w:val="24"/>
        </w:rPr>
        <w:t xml:space="preserve">avalikus sektoris </w:t>
      </w:r>
      <w:r w:rsidRPr="00A45C9F">
        <w:rPr>
          <w:szCs w:val="24"/>
        </w:rPr>
        <w:t xml:space="preserve">õigusteenuse osutamine </w:t>
      </w:r>
      <w:r w:rsidR="001634C1" w:rsidRPr="00A45C9F">
        <w:rPr>
          <w:szCs w:val="24"/>
        </w:rPr>
        <w:t>otsuse või toimingu sisuliseks suunamiseks.</w:t>
      </w:r>
      <w:r w:rsidR="61EB2763" w:rsidRPr="00A45C9F">
        <w:rPr>
          <w:szCs w:val="24"/>
        </w:rPr>
        <w:t xml:space="preserve"> </w:t>
      </w:r>
      <w:r w:rsidR="00B638B1" w:rsidRPr="00A45C9F">
        <w:rPr>
          <w:szCs w:val="24"/>
        </w:rPr>
        <w:t>Täpsustatud ei ole sedagi, kas viidatud „lävendi“ ületamine tähendab tingimata advokaadi poolt osutatava õigusteenuse piiridest väljumist või on otsuse või toimingu sisuline suunamine siiski võimalik üksnes õigusteenust osutades.</w:t>
      </w:r>
    </w:p>
    <w:p w14:paraId="46834983" w14:textId="77777777" w:rsidR="009844B6" w:rsidRPr="00A45C9F" w:rsidRDefault="009844B6" w:rsidP="009A2B54">
      <w:pPr>
        <w:jc w:val="both"/>
        <w:rPr>
          <w:szCs w:val="24"/>
        </w:rPr>
      </w:pPr>
    </w:p>
    <w:p w14:paraId="781EE3BD" w14:textId="40C359C7" w:rsidR="001971B4" w:rsidRPr="00A45C9F" w:rsidRDefault="00FE7F2E" w:rsidP="009A2B54">
      <w:pPr>
        <w:jc w:val="both"/>
        <w:rPr>
          <w:szCs w:val="24"/>
        </w:rPr>
      </w:pPr>
      <w:r w:rsidRPr="00A45C9F">
        <w:rPr>
          <w:szCs w:val="24"/>
        </w:rPr>
        <w:t>Ametiseisundi tekkimise võimalikkust ametiasutusele õigusteenuse osutamisel</w:t>
      </w:r>
      <w:r w:rsidR="001971B4" w:rsidRPr="00A45C9F">
        <w:rPr>
          <w:szCs w:val="24"/>
        </w:rPr>
        <w:t xml:space="preserve"> </w:t>
      </w:r>
      <w:r w:rsidR="00A341C2">
        <w:rPr>
          <w:szCs w:val="24"/>
        </w:rPr>
        <w:t>on üheselt</w:t>
      </w:r>
      <w:r w:rsidR="001971B4" w:rsidRPr="00A45C9F">
        <w:rPr>
          <w:szCs w:val="24"/>
        </w:rPr>
        <w:t xml:space="preserve"> </w:t>
      </w:r>
      <w:r w:rsidR="00A341C2">
        <w:rPr>
          <w:szCs w:val="24"/>
        </w:rPr>
        <w:t>kinnitanud</w:t>
      </w:r>
      <w:r w:rsidR="001971B4" w:rsidRPr="00A45C9F">
        <w:rPr>
          <w:szCs w:val="24"/>
        </w:rPr>
        <w:t xml:space="preserve"> ka Riigikohus</w:t>
      </w:r>
      <w:r w:rsidR="00A341C2">
        <w:rPr>
          <w:szCs w:val="24"/>
        </w:rPr>
        <w:t>,</w:t>
      </w:r>
      <w:r w:rsidR="001971B4" w:rsidRPr="00A45C9F">
        <w:rPr>
          <w:szCs w:val="24"/>
        </w:rPr>
        <w:t xml:space="preserve"> </w:t>
      </w:r>
      <w:r w:rsidR="00A341C2">
        <w:rPr>
          <w:szCs w:val="24"/>
        </w:rPr>
        <w:t>selgitades</w:t>
      </w:r>
      <w:r w:rsidR="001971B4" w:rsidRPr="00A45C9F">
        <w:rPr>
          <w:szCs w:val="24"/>
        </w:rPr>
        <w:t>, et õigusnõustamist ei saa juba eelduslikult n-ö mittesisuliseks abistavaks tegevuseks taandada, kuivõrd õigusnõustaja valikud ja tema pakutud argumendid võivad avaldada otsuse või toimingu tegijale ning seega ka otsusele või toimingule suurt mõju.</w:t>
      </w:r>
      <w:r w:rsidR="001971B4" w:rsidRPr="00A45C9F">
        <w:rPr>
          <w:szCs w:val="24"/>
          <w:vertAlign w:val="superscript"/>
        </w:rPr>
        <w:footnoteReference w:id="4"/>
      </w:r>
      <w:r w:rsidR="001971B4" w:rsidRPr="00A45C9F">
        <w:rPr>
          <w:szCs w:val="24"/>
        </w:rPr>
        <w:t xml:space="preserve"> </w:t>
      </w:r>
      <w:r w:rsidR="00B638B1" w:rsidRPr="00A45C9F">
        <w:rPr>
          <w:szCs w:val="24"/>
        </w:rPr>
        <w:t>Riigikohtu seisukoht viitab</w:t>
      </w:r>
      <w:r w:rsidR="004D4E40">
        <w:rPr>
          <w:szCs w:val="24"/>
        </w:rPr>
        <w:t xml:space="preserve"> </w:t>
      </w:r>
      <w:r w:rsidR="00B638B1" w:rsidRPr="00A45C9F">
        <w:rPr>
          <w:szCs w:val="24"/>
        </w:rPr>
        <w:t xml:space="preserve">tõlgendusele, et kehtiva seaduse järgi on otsust või toimingut </w:t>
      </w:r>
      <w:r w:rsidR="00B638B1" w:rsidRPr="003C36B7">
        <w:rPr>
          <w:i/>
          <w:iCs/>
          <w:szCs w:val="24"/>
        </w:rPr>
        <w:t>võimalik</w:t>
      </w:r>
      <w:r w:rsidR="00B638B1" w:rsidRPr="00A45C9F">
        <w:rPr>
          <w:szCs w:val="24"/>
        </w:rPr>
        <w:t xml:space="preserve"> sisuliselt suunata KVS § 2 lg 2 tähenduses ka üksnes õigusteenus</w:t>
      </w:r>
      <w:r w:rsidR="00921FC6">
        <w:rPr>
          <w:szCs w:val="24"/>
        </w:rPr>
        <w:t>t osutades</w:t>
      </w:r>
      <w:r w:rsidR="00134CE8">
        <w:rPr>
          <w:szCs w:val="24"/>
        </w:rPr>
        <w:t>.</w:t>
      </w:r>
      <w:r w:rsidR="00921FC6">
        <w:rPr>
          <w:szCs w:val="24"/>
        </w:rPr>
        <w:t xml:space="preserve"> </w:t>
      </w:r>
      <w:r w:rsidR="00B638B1" w:rsidRPr="00A45C9F">
        <w:rPr>
          <w:szCs w:val="24"/>
        </w:rPr>
        <w:t xml:space="preserve"> </w:t>
      </w:r>
    </w:p>
    <w:p w14:paraId="000ED866" w14:textId="77777777" w:rsidR="001971B4" w:rsidRPr="00A45C9F" w:rsidRDefault="001971B4" w:rsidP="009A2B54">
      <w:pPr>
        <w:jc w:val="both"/>
        <w:rPr>
          <w:szCs w:val="24"/>
        </w:rPr>
      </w:pPr>
    </w:p>
    <w:p w14:paraId="0A2078CB" w14:textId="23DC938A" w:rsidR="009844B6" w:rsidRPr="00A45C9F" w:rsidRDefault="649D3B6D" w:rsidP="009A2B54">
      <w:pPr>
        <w:jc w:val="both"/>
        <w:rPr>
          <w:szCs w:val="24"/>
        </w:rPr>
      </w:pPr>
      <w:r w:rsidRPr="00A45C9F">
        <w:rPr>
          <w:szCs w:val="24"/>
        </w:rPr>
        <w:t xml:space="preserve">Seejuures ei ole senise kohtupraktika pinnalt oluline, kas isiku osalusel või </w:t>
      </w:r>
      <w:r w:rsidRPr="00A45C9F">
        <w:rPr>
          <w:i/>
          <w:iCs/>
          <w:szCs w:val="24"/>
        </w:rPr>
        <w:t xml:space="preserve">sisulisel suunamisel </w:t>
      </w:r>
      <w:r w:rsidRPr="00A45C9F">
        <w:rPr>
          <w:szCs w:val="24"/>
        </w:rPr>
        <w:t xml:space="preserve"> tehtud otsus on</w:t>
      </w:r>
      <w:r w:rsidR="37D0A0DB" w:rsidRPr="00A45C9F">
        <w:rPr>
          <w:szCs w:val="24"/>
        </w:rPr>
        <w:t xml:space="preserve"> </w:t>
      </w:r>
      <w:r w:rsidRPr="00A45C9F">
        <w:rPr>
          <w:szCs w:val="24"/>
        </w:rPr>
        <w:t>avaldanud reaalseid</w:t>
      </w:r>
      <w:r w:rsidR="00134CE8">
        <w:rPr>
          <w:szCs w:val="24"/>
        </w:rPr>
        <w:t xml:space="preserve"> soovimatuid</w:t>
      </w:r>
      <w:r w:rsidRPr="00A45C9F">
        <w:rPr>
          <w:szCs w:val="24"/>
        </w:rPr>
        <w:t xml:space="preserve"> tagajärgi. Piisab, et ametiisik osaleb otsuse tegemisel, mis on suunatud teisele isikule, sealhulgas asutusele või eraõiguslikule juriidilisele isikule, milles ametiisikul on ametiseisund, õiguste või kohustuste tekitamisele</w:t>
      </w:r>
      <w:r w:rsidR="009844B6" w:rsidRPr="00A45C9F">
        <w:rPr>
          <w:rStyle w:val="FootnoteReference"/>
          <w:szCs w:val="24"/>
        </w:rPr>
        <w:footnoteReference w:id="5"/>
      </w:r>
      <w:r w:rsidRPr="00A45C9F">
        <w:rPr>
          <w:szCs w:val="24"/>
        </w:rPr>
        <w:t>. Toimingupiirangu</w:t>
      </w:r>
      <w:r w:rsidR="003A0DF1">
        <w:rPr>
          <w:szCs w:val="24"/>
        </w:rPr>
        <w:t xml:space="preserve"> rikkumine toimub ainuüksi </w:t>
      </w:r>
      <w:r w:rsidRPr="00A45C9F">
        <w:rPr>
          <w:szCs w:val="24"/>
        </w:rPr>
        <w:t>ohu loomisega, ohu realiseer</w:t>
      </w:r>
      <w:r w:rsidR="003A0DF1">
        <w:rPr>
          <w:szCs w:val="24"/>
        </w:rPr>
        <w:t>u</w:t>
      </w:r>
      <w:r w:rsidRPr="00A45C9F">
        <w:rPr>
          <w:szCs w:val="24"/>
        </w:rPr>
        <w:t>mine vajalik ei ole</w:t>
      </w:r>
      <w:r w:rsidR="003C36B7">
        <w:rPr>
          <w:szCs w:val="24"/>
        </w:rPr>
        <w:t>.</w:t>
      </w:r>
      <w:r w:rsidR="009844B6" w:rsidRPr="00A45C9F">
        <w:rPr>
          <w:rStyle w:val="FootnoteReference"/>
          <w:szCs w:val="24"/>
        </w:rPr>
        <w:footnoteReference w:id="6"/>
      </w:r>
    </w:p>
    <w:p w14:paraId="0D29F253" w14:textId="77777777" w:rsidR="007463BF" w:rsidRPr="00A45C9F" w:rsidRDefault="007463BF" w:rsidP="009A2B54">
      <w:pPr>
        <w:jc w:val="both"/>
        <w:rPr>
          <w:szCs w:val="24"/>
        </w:rPr>
      </w:pPr>
    </w:p>
    <w:p w14:paraId="307BC840" w14:textId="102D72BA" w:rsidR="00A41832" w:rsidRDefault="56B8D9EE" w:rsidP="009A2B54">
      <w:pPr>
        <w:jc w:val="both"/>
        <w:rPr>
          <w:szCs w:val="24"/>
        </w:rPr>
      </w:pPr>
      <w:r w:rsidRPr="00A45C9F">
        <w:rPr>
          <w:szCs w:val="24"/>
        </w:rPr>
        <w:t>KVS-</w:t>
      </w:r>
      <w:proofErr w:type="spellStart"/>
      <w:r w:rsidRPr="00A45C9F">
        <w:rPr>
          <w:szCs w:val="24"/>
        </w:rPr>
        <w:t>is</w:t>
      </w:r>
      <w:proofErr w:type="spellEnd"/>
      <w:r w:rsidRPr="00A45C9F">
        <w:rPr>
          <w:szCs w:val="24"/>
        </w:rPr>
        <w:t xml:space="preserve"> toodud määratlus „osalemine otsuse või toimingu sisulises suunamises“ on</w:t>
      </w:r>
      <w:r w:rsidR="37D0A0DB" w:rsidRPr="00A45C9F">
        <w:rPr>
          <w:szCs w:val="24"/>
        </w:rPr>
        <w:t xml:space="preserve"> eeltoodu tõttu</w:t>
      </w:r>
      <w:r w:rsidRPr="00A45C9F">
        <w:rPr>
          <w:szCs w:val="24"/>
        </w:rPr>
        <w:t xml:space="preserve"> äärmiselt problemaatiline, sest </w:t>
      </w:r>
      <w:r w:rsidR="0006282E">
        <w:rPr>
          <w:szCs w:val="24"/>
        </w:rPr>
        <w:t>seadusest ei selgu</w:t>
      </w:r>
      <w:r w:rsidR="37D0A0DB" w:rsidRPr="00A45C9F">
        <w:rPr>
          <w:szCs w:val="24"/>
        </w:rPr>
        <w:t>, millise intensiivsusega</w:t>
      </w:r>
      <w:r w:rsidR="001E157C" w:rsidRPr="00A45C9F">
        <w:rPr>
          <w:szCs w:val="24"/>
        </w:rPr>
        <w:t xml:space="preserve"> või selgelt delegeeritud otsustamispädevusega</w:t>
      </w:r>
      <w:r w:rsidR="37D0A0DB" w:rsidRPr="00A45C9F">
        <w:rPr>
          <w:szCs w:val="24"/>
        </w:rPr>
        <w:t xml:space="preserve"> peab isik tegutsema, et tegemist oleks „otsuse sisulise suunamisega“. Selliselt ei </w:t>
      </w:r>
      <w:r w:rsidR="102517DD" w:rsidRPr="00A45C9F">
        <w:rPr>
          <w:szCs w:val="24"/>
        </w:rPr>
        <w:t>pruugi olla</w:t>
      </w:r>
      <w:r w:rsidR="37D0A0DB" w:rsidRPr="00A45C9F">
        <w:rPr>
          <w:szCs w:val="24"/>
        </w:rPr>
        <w:t xml:space="preserve"> ka</w:t>
      </w:r>
      <w:r w:rsidR="102517DD" w:rsidRPr="00A45C9F">
        <w:rPr>
          <w:szCs w:val="24"/>
        </w:rPr>
        <w:t xml:space="preserve"> alati</w:t>
      </w:r>
      <w:r w:rsidR="37D0A0DB" w:rsidRPr="00A45C9F">
        <w:rPr>
          <w:szCs w:val="24"/>
        </w:rPr>
        <w:t xml:space="preserve"> ettenähtav, millal võib riigi- või kohaliku omavalitsuse asutusele õigusteenust osutava</w:t>
      </w:r>
      <w:r w:rsidR="4D91BCAA" w:rsidRPr="00A45C9F">
        <w:rPr>
          <w:szCs w:val="24"/>
        </w:rPr>
        <w:t>l</w:t>
      </w:r>
      <w:r w:rsidR="37D0A0DB" w:rsidRPr="00A45C9F">
        <w:rPr>
          <w:szCs w:val="24"/>
        </w:rPr>
        <w:t xml:space="preserve"> advokaadi</w:t>
      </w:r>
      <w:r w:rsidR="2C90E5AC" w:rsidRPr="00A45C9F">
        <w:rPr>
          <w:szCs w:val="24"/>
        </w:rPr>
        <w:t>l</w:t>
      </w:r>
      <w:r w:rsidR="37D0A0DB" w:rsidRPr="00A45C9F">
        <w:rPr>
          <w:szCs w:val="24"/>
        </w:rPr>
        <w:t xml:space="preserve"> </w:t>
      </w:r>
      <w:r w:rsidR="05BF3F30" w:rsidRPr="00A45C9F">
        <w:rPr>
          <w:szCs w:val="24"/>
        </w:rPr>
        <w:t>tekkida ametiseisund</w:t>
      </w:r>
      <w:r w:rsidR="37D0A0DB" w:rsidRPr="00A45C9F">
        <w:rPr>
          <w:szCs w:val="24"/>
        </w:rPr>
        <w:t>.</w:t>
      </w:r>
      <w:r w:rsidR="001E157C" w:rsidRPr="00A45C9F">
        <w:rPr>
          <w:szCs w:val="24"/>
        </w:rPr>
        <w:t xml:space="preserve"> Samuti ei ole see ette nähtav riigile või kohalikule omavalitsusele endale, kes advokaadile ülesande annavad.</w:t>
      </w:r>
      <w:r w:rsidR="102517DD" w:rsidRPr="00A45C9F">
        <w:rPr>
          <w:szCs w:val="24"/>
        </w:rPr>
        <w:t xml:space="preserve"> </w:t>
      </w:r>
      <w:r w:rsidR="009B1F9D">
        <w:rPr>
          <w:szCs w:val="24"/>
        </w:rPr>
        <w:t>Konkreetseid juhiseid selliste olukordade tuvastamiseks ei andnud ka Riigikohus viidatud asjas</w:t>
      </w:r>
      <w:r w:rsidR="008F7A38">
        <w:rPr>
          <w:rStyle w:val="FootnoteReference"/>
          <w:szCs w:val="24"/>
        </w:rPr>
        <w:footnoteReference w:id="7"/>
      </w:r>
      <w:r w:rsidR="009B1F9D">
        <w:rPr>
          <w:szCs w:val="24"/>
        </w:rPr>
        <w:t>.</w:t>
      </w:r>
    </w:p>
    <w:p w14:paraId="75A42369" w14:textId="77777777" w:rsidR="00B253FE" w:rsidRDefault="00B253FE" w:rsidP="009A2B54">
      <w:pPr>
        <w:jc w:val="both"/>
        <w:rPr>
          <w:szCs w:val="24"/>
        </w:rPr>
      </w:pPr>
    </w:p>
    <w:p w14:paraId="75A4AD4C" w14:textId="50DA9DCE" w:rsidR="007463BF" w:rsidRPr="00A45C9F" w:rsidRDefault="009B1F9D" w:rsidP="009A2B54">
      <w:pPr>
        <w:jc w:val="both"/>
        <w:rPr>
          <w:szCs w:val="24"/>
        </w:rPr>
      </w:pPr>
      <w:r>
        <w:rPr>
          <w:szCs w:val="24"/>
        </w:rPr>
        <w:t>See, millal muutub õ</w:t>
      </w:r>
      <w:r w:rsidR="007463BF" w:rsidRPr="00A45C9F">
        <w:rPr>
          <w:szCs w:val="24"/>
        </w:rPr>
        <w:t>igusteenuse osutami</w:t>
      </w:r>
      <w:r w:rsidR="00F61E24">
        <w:rPr>
          <w:szCs w:val="24"/>
        </w:rPr>
        <w:t>n</w:t>
      </w:r>
      <w:r w:rsidR="007463BF" w:rsidRPr="00A45C9F">
        <w:rPr>
          <w:szCs w:val="24"/>
        </w:rPr>
        <w:t>e otsuse või toimingu sisulise</w:t>
      </w:r>
      <w:r w:rsidR="00B638B1" w:rsidRPr="00A45C9F">
        <w:rPr>
          <w:szCs w:val="24"/>
        </w:rPr>
        <w:t>ks</w:t>
      </w:r>
      <w:r w:rsidR="007463BF" w:rsidRPr="00A45C9F">
        <w:rPr>
          <w:szCs w:val="24"/>
        </w:rPr>
        <w:t xml:space="preserve"> suunamise</w:t>
      </w:r>
      <w:r w:rsidR="00B638B1" w:rsidRPr="00A45C9F">
        <w:rPr>
          <w:szCs w:val="24"/>
        </w:rPr>
        <w:t>ks</w:t>
      </w:r>
      <w:r>
        <w:rPr>
          <w:szCs w:val="24"/>
        </w:rPr>
        <w:t>,</w:t>
      </w:r>
      <w:r w:rsidR="007463BF" w:rsidRPr="00A45C9F">
        <w:rPr>
          <w:szCs w:val="24"/>
        </w:rPr>
        <w:t xml:space="preserve"> </w:t>
      </w:r>
      <w:r w:rsidR="00B638B1" w:rsidRPr="00A45C9F">
        <w:rPr>
          <w:szCs w:val="24"/>
        </w:rPr>
        <w:t>ei ole täpsustatud ka kavandatavas eelnõus</w:t>
      </w:r>
      <w:r w:rsidR="007463BF" w:rsidRPr="00A45C9F">
        <w:rPr>
          <w:szCs w:val="24"/>
        </w:rPr>
        <w:t xml:space="preserve">. </w:t>
      </w:r>
      <w:r>
        <w:rPr>
          <w:szCs w:val="24"/>
        </w:rPr>
        <w:t>Riigikohtu osundatud „l</w:t>
      </w:r>
      <w:r w:rsidR="007463BF" w:rsidRPr="00A45C9F">
        <w:rPr>
          <w:szCs w:val="24"/>
        </w:rPr>
        <w:t>ävend</w:t>
      </w:r>
      <w:r>
        <w:rPr>
          <w:szCs w:val="24"/>
        </w:rPr>
        <w:t>“</w:t>
      </w:r>
      <w:r w:rsidR="007463BF" w:rsidRPr="00A45C9F">
        <w:rPr>
          <w:szCs w:val="24"/>
        </w:rPr>
        <w:t>, mille järgi määratleda advokaa</w:t>
      </w:r>
      <w:r>
        <w:rPr>
          <w:szCs w:val="24"/>
        </w:rPr>
        <w:t>t</w:t>
      </w:r>
      <w:r w:rsidR="007463BF" w:rsidRPr="00A45C9F">
        <w:rPr>
          <w:szCs w:val="24"/>
        </w:rPr>
        <w:t xml:space="preserve"> ametiisikuks KVS § 2 lg 2 mõttes, on endiselt igakordse tõlgendamise küsimus ja sõltub konkreetsest menetlejast, prokurörist ja kohtunikust.</w:t>
      </w:r>
    </w:p>
    <w:p w14:paraId="25E30629" w14:textId="77777777" w:rsidR="007463BF" w:rsidRPr="00A45C9F" w:rsidRDefault="007463BF" w:rsidP="009A2B54">
      <w:pPr>
        <w:jc w:val="both"/>
        <w:rPr>
          <w:szCs w:val="24"/>
        </w:rPr>
      </w:pPr>
    </w:p>
    <w:p w14:paraId="1AC61CDE" w14:textId="67585ACD" w:rsidR="009F1AFE" w:rsidRDefault="102517DD" w:rsidP="009A2B54">
      <w:pPr>
        <w:jc w:val="both"/>
        <w:rPr>
          <w:szCs w:val="24"/>
        </w:rPr>
      </w:pPr>
      <w:r w:rsidRPr="00A45C9F">
        <w:rPr>
          <w:szCs w:val="24"/>
        </w:rPr>
        <w:t xml:space="preserve">Õiguslik ebaselgus selles küsimuses võib tuua kaasa olukorra, kus riigi või kohaliku omavalitsuse asutusele õigusteenuse osutamisega kaasnevad riskid muutuvad ühel hetkel liiga kõrgeks ning õigusteenuse osutamisest </w:t>
      </w:r>
      <w:r w:rsidR="001673B1">
        <w:rPr>
          <w:szCs w:val="24"/>
        </w:rPr>
        <w:t xml:space="preserve">neile </w:t>
      </w:r>
      <w:r w:rsidRPr="00A45C9F">
        <w:rPr>
          <w:szCs w:val="24"/>
        </w:rPr>
        <w:t xml:space="preserve">loobutakse. Sellel võivad olla omakorda märkimisväärselt ebasoodsad mõjud otsustusprotsessidele nii kohaliku omavalitsuse kui ka riigi tasandil, sest kvaliteetne õigusnõu ei ole enam kättesaadav. </w:t>
      </w:r>
    </w:p>
    <w:p w14:paraId="6ECE07CE" w14:textId="77777777" w:rsidR="009F1AFE" w:rsidRDefault="009F1AFE" w:rsidP="009A2B54">
      <w:pPr>
        <w:jc w:val="both"/>
        <w:rPr>
          <w:szCs w:val="24"/>
        </w:rPr>
      </w:pPr>
    </w:p>
    <w:p w14:paraId="79F31423" w14:textId="6C4A2D34" w:rsidR="00833EF8" w:rsidRPr="00A45C9F" w:rsidRDefault="001E157C" w:rsidP="009A2B54">
      <w:pPr>
        <w:jc w:val="both"/>
        <w:rPr>
          <w:szCs w:val="24"/>
        </w:rPr>
      </w:pPr>
      <w:r w:rsidRPr="00A45C9F">
        <w:rPr>
          <w:szCs w:val="24"/>
        </w:rPr>
        <w:t>Ebamäärasus ei tohiks tekitada olukorda, kus advokaadibüroode riskiisu</w:t>
      </w:r>
      <w:r w:rsidR="102517DD" w:rsidRPr="00A45C9F">
        <w:rPr>
          <w:szCs w:val="24"/>
        </w:rPr>
        <w:t xml:space="preserve"> </w:t>
      </w:r>
      <w:r w:rsidRPr="00A45C9F">
        <w:rPr>
          <w:szCs w:val="24"/>
        </w:rPr>
        <w:t xml:space="preserve">välistab avaliku võimu nõustamise </w:t>
      </w:r>
      <w:r w:rsidR="009F1AFE">
        <w:rPr>
          <w:szCs w:val="24"/>
        </w:rPr>
        <w:t xml:space="preserve">keerulisemates </w:t>
      </w:r>
      <w:r w:rsidRPr="00A45C9F">
        <w:rPr>
          <w:szCs w:val="24"/>
        </w:rPr>
        <w:t>õiguslikes küsimustes</w:t>
      </w:r>
      <w:r w:rsidR="009B1F9D">
        <w:rPr>
          <w:szCs w:val="24"/>
        </w:rPr>
        <w:t>.</w:t>
      </w:r>
      <w:r w:rsidRPr="00A45C9F">
        <w:rPr>
          <w:szCs w:val="24"/>
        </w:rPr>
        <w:t xml:space="preserve"> Teiste sõnadega ei ole</w:t>
      </w:r>
      <w:r w:rsidR="00FA4927">
        <w:rPr>
          <w:szCs w:val="24"/>
        </w:rPr>
        <w:t xml:space="preserve"> </w:t>
      </w:r>
      <w:r w:rsidRPr="00A45C9F">
        <w:rPr>
          <w:szCs w:val="24"/>
        </w:rPr>
        <w:t xml:space="preserve"> avaliku võimu enda </w:t>
      </w:r>
      <w:r w:rsidR="00FA4927">
        <w:rPr>
          <w:szCs w:val="24"/>
        </w:rPr>
        <w:t xml:space="preserve">ega kutseliste õigusnõustajate </w:t>
      </w:r>
      <w:r w:rsidRPr="00A45C9F">
        <w:rPr>
          <w:szCs w:val="24"/>
        </w:rPr>
        <w:t xml:space="preserve">huvides, kui </w:t>
      </w:r>
      <w:r w:rsidR="009B1F9D" w:rsidRPr="00A45C9F">
        <w:rPr>
          <w:szCs w:val="24"/>
        </w:rPr>
        <w:t>advokaa</w:t>
      </w:r>
      <w:r w:rsidR="009B1F9D">
        <w:rPr>
          <w:szCs w:val="24"/>
        </w:rPr>
        <w:t>tide</w:t>
      </w:r>
      <w:r w:rsidR="009B1F9D" w:rsidRPr="00A45C9F">
        <w:rPr>
          <w:szCs w:val="24"/>
        </w:rPr>
        <w:t xml:space="preserve"> </w:t>
      </w:r>
      <w:r w:rsidRPr="00A45C9F">
        <w:rPr>
          <w:szCs w:val="24"/>
        </w:rPr>
        <w:t xml:space="preserve">riskiisu tõttu oleks õigusnõustamine avalikule võimule kättesaadav vaid õigusvaidlustes ning välistatud või piiratum </w:t>
      </w:r>
      <w:r w:rsidR="00CA17E1" w:rsidRPr="00A45C9F">
        <w:rPr>
          <w:szCs w:val="24"/>
        </w:rPr>
        <w:t>õigusvaidlus</w:t>
      </w:r>
      <w:r w:rsidR="00FA4927">
        <w:rPr>
          <w:szCs w:val="24"/>
        </w:rPr>
        <w:t>i ennet</w:t>
      </w:r>
      <w:r w:rsidR="00C1489C">
        <w:rPr>
          <w:szCs w:val="24"/>
        </w:rPr>
        <w:t>avates</w:t>
      </w:r>
      <w:r w:rsidR="00CA17E1" w:rsidRPr="00A45C9F">
        <w:rPr>
          <w:szCs w:val="24"/>
        </w:rPr>
        <w:t xml:space="preserve"> toimingutes ja tegevustes.</w:t>
      </w:r>
      <w:r w:rsidRPr="00A45C9F">
        <w:rPr>
          <w:szCs w:val="24"/>
        </w:rPr>
        <w:t xml:space="preserve"> </w:t>
      </w:r>
      <w:r w:rsidR="00447160">
        <w:rPr>
          <w:szCs w:val="24"/>
        </w:rPr>
        <w:t>See ei oleks ka laiemalt avalikkuse huvides, sest</w:t>
      </w:r>
      <w:r w:rsidR="007638FD">
        <w:rPr>
          <w:szCs w:val="24"/>
        </w:rPr>
        <w:t xml:space="preserve"> </w:t>
      </w:r>
      <w:r w:rsidR="007638FD">
        <w:rPr>
          <w:szCs w:val="24"/>
        </w:rPr>
        <w:lastRenderedPageBreak/>
        <w:t xml:space="preserve">õigusvaidluste ennetamine </w:t>
      </w:r>
      <w:r w:rsidR="00A21205">
        <w:rPr>
          <w:szCs w:val="24"/>
        </w:rPr>
        <w:t>säästab nii avaliku</w:t>
      </w:r>
      <w:r w:rsidR="004931F6">
        <w:rPr>
          <w:szCs w:val="24"/>
        </w:rPr>
        <w:t xml:space="preserve">- kui erasektori ressursse. </w:t>
      </w:r>
    </w:p>
    <w:p w14:paraId="6B1A6916" w14:textId="431495CB" w:rsidR="00E263F1" w:rsidRPr="00A45C9F" w:rsidRDefault="00E263F1" w:rsidP="00F22609">
      <w:pPr>
        <w:pStyle w:val="Heading1"/>
        <w:numPr>
          <w:ilvl w:val="0"/>
          <w:numId w:val="2"/>
        </w:numPr>
        <w:rPr>
          <w:rFonts w:ascii="Times New Roman" w:hAnsi="Times New Roman" w:cs="Times New Roman"/>
          <w:sz w:val="24"/>
          <w:szCs w:val="24"/>
        </w:rPr>
      </w:pPr>
      <w:r w:rsidRPr="00A45C9F">
        <w:rPr>
          <w:rFonts w:ascii="Times New Roman" w:hAnsi="Times New Roman" w:cs="Times New Roman"/>
          <w:sz w:val="24"/>
          <w:szCs w:val="24"/>
        </w:rPr>
        <w:t>Eelnõus toimingupiirangu vastavus määratletuse põhimõttele</w:t>
      </w:r>
    </w:p>
    <w:p w14:paraId="0AF17D22" w14:textId="6D8F3EBC" w:rsidR="00BA3678" w:rsidRPr="00A45C9F" w:rsidRDefault="00BA3678" w:rsidP="00BA3678">
      <w:pPr>
        <w:rPr>
          <w:szCs w:val="24"/>
        </w:rPr>
      </w:pPr>
    </w:p>
    <w:p w14:paraId="1A87BBB1" w14:textId="4A3B1BEE" w:rsidR="00A935AD" w:rsidRPr="00A45C9F" w:rsidRDefault="00A935AD" w:rsidP="001A2C95">
      <w:pPr>
        <w:jc w:val="both"/>
        <w:rPr>
          <w:szCs w:val="24"/>
        </w:rPr>
      </w:pPr>
      <w:r w:rsidRPr="00A45C9F">
        <w:rPr>
          <w:szCs w:val="24"/>
        </w:rPr>
        <w:t xml:space="preserve">Eelnõu seletuskirjas on välja toodud, et muudatuste üldiseks eesmärgiks on vähendada korruptsiooniriski, parandades veelgi ametiisikute ning laiema avalikkuse arusaamist olukordadest, kus sellised riskid avalduda võivad. Eelnõu </w:t>
      </w:r>
      <w:r w:rsidR="007010B9" w:rsidRPr="00A45C9F">
        <w:rPr>
          <w:szCs w:val="24"/>
        </w:rPr>
        <w:t>koostajate</w:t>
      </w:r>
      <w:r w:rsidRPr="00A45C9F">
        <w:rPr>
          <w:szCs w:val="24"/>
        </w:rPr>
        <w:t xml:space="preserve"> arvamuse kohaselt loovad muudatused suurema õigusselguse ning vähendavad praktikas ette tulevaid probleeme KVS-i rakendamisel.</w:t>
      </w:r>
      <w:r w:rsidR="007010B9" w:rsidRPr="00A45C9F">
        <w:rPr>
          <w:rStyle w:val="FootnoteReference"/>
          <w:szCs w:val="24"/>
        </w:rPr>
        <w:footnoteReference w:id="8"/>
      </w:r>
      <w:r w:rsidR="000A74AD" w:rsidRPr="00A45C9F">
        <w:rPr>
          <w:szCs w:val="24"/>
        </w:rPr>
        <w:t xml:space="preserve"> </w:t>
      </w:r>
    </w:p>
    <w:p w14:paraId="7831A044" w14:textId="09DAA2B3" w:rsidR="00A935AD" w:rsidRPr="00A45C9F" w:rsidRDefault="00A935AD" w:rsidP="001A2C95">
      <w:pPr>
        <w:jc w:val="both"/>
        <w:rPr>
          <w:szCs w:val="24"/>
        </w:rPr>
      </w:pPr>
    </w:p>
    <w:p w14:paraId="635F76E8" w14:textId="2443D08C" w:rsidR="000A74AD" w:rsidRPr="00A45C9F" w:rsidRDefault="000A74AD" w:rsidP="001A2C95">
      <w:pPr>
        <w:jc w:val="both"/>
      </w:pPr>
      <w:r>
        <w:t>Paraku e</w:t>
      </w:r>
      <w:r w:rsidR="00A935AD">
        <w:t xml:space="preserve">elnõuga kavandatavad muudatused </w:t>
      </w:r>
      <w:r w:rsidR="009D1093">
        <w:t xml:space="preserve">vajalikku </w:t>
      </w:r>
      <w:r w:rsidR="00A935AD">
        <w:t xml:space="preserve">õiguslikku selgust toimingupiirangu kohaldamisele </w:t>
      </w:r>
      <w:r w:rsidR="004426A4">
        <w:t xml:space="preserve">siiski hetkeseisuga </w:t>
      </w:r>
      <w:r w:rsidR="00A935AD">
        <w:t xml:space="preserve">ei loo. </w:t>
      </w:r>
      <w:r>
        <w:t>Sisustamata on jäetud olulised mõisted ning koosseisu laia kohaldamisala tegelikult piiratud ei ole</w:t>
      </w:r>
      <w:r w:rsidR="008F55C5">
        <w:t>.</w:t>
      </w:r>
      <w:r w:rsidR="001C3E91">
        <w:t xml:space="preserve"> </w:t>
      </w:r>
      <w:r w:rsidR="25BD96A4">
        <w:t>E</w:t>
      </w:r>
      <w:r>
        <w:t xml:space="preserve">elnõuga tehtavate muudatuste jõustumisel </w:t>
      </w:r>
      <w:r w:rsidR="05A1A67D">
        <w:t>säilib</w:t>
      </w:r>
      <w:r>
        <w:t xml:space="preserve"> </w:t>
      </w:r>
      <w:r w:rsidR="00EB1E68">
        <w:t xml:space="preserve">endiselt </w:t>
      </w:r>
      <w:r>
        <w:t xml:space="preserve">äärmiselt suur diskretsioon nii menetlejale kriminaalasja algatamiseks kui ka kohtule otsuse tegemiseks. </w:t>
      </w:r>
    </w:p>
    <w:p w14:paraId="1C4D049A" w14:textId="77777777" w:rsidR="000A74AD" w:rsidRPr="00A45C9F" w:rsidRDefault="000A74AD" w:rsidP="001A2C95">
      <w:pPr>
        <w:jc w:val="both"/>
        <w:rPr>
          <w:szCs w:val="24"/>
        </w:rPr>
      </w:pPr>
    </w:p>
    <w:p w14:paraId="33DD55A3" w14:textId="41DC09C1" w:rsidR="000A74AD" w:rsidRPr="00A45C9F" w:rsidRDefault="5F7300E7" w:rsidP="58CC08EC">
      <w:pPr>
        <w:jc w:val="both"/>
      </w:pPr>
      <w:r>
        <w:t>Probleemistikku ilmestab Tallinna Ringkonnakohtu seisukoht: „S</w:t>
      </w:r>
      <w:r w:rsidRPr="58CC08EC">
        <w:rPr>
          <w:i/>
          <w:iCs/>
        </w:rPr>
        <w:t>eadusandja on toimingupiirangu mõiste sõnastanud äärmiselt laialt ning põhimõttel, et pigem olgu selle mõiste katvus laiem, kui riskida sellega, et mõni olukord jääb toimingupiirangu alt välja</w:t>
      </w:r>
      <w:r>
        <w:t>.“</w:t>
      </w:r>
      <w:r w:rsidR="000A74AD" w:rsidRPr="58CC08EC">
        <w:rPr>
          <w:rStyle w:val="FootnoteReference"/>
        </w:rPr>
        <w:footnoteReference w:id="9"/>
      </w:r>
    </w:p>
    <w:p w14:paraId="7B9588DC" w14:textId="4DEE445A" w:rsidR="000A74AD" w:rsidRPr="00A45C9F" w:rsidRDefault="000A74AD" w:rsidP="58CC08EC">
      <w:pPr>
        <w:jc w:val="both"/>
      </w:pPr>
    </w:p>
    <w:p w14:paraId="5E04B7F9" w14:textId="56ADC4D2" w:rsidR="00A935AD" w:rsidRPr="00A45C9F" w:rsidRDefault="000A74AD" w:rsidP="001A2C95">
      <w:pPr>
        <w:jc w:val="both"/>
        <w:rPr>
          <w:szCs w:val="24"/>
        </w:rPr>
      </w:pPr>
      <w:r w:rsidRPr="58CC08EC">
        <w:t xml:space="preserve">Toimingupiirangu koosseisu probleemsusele </w:t>
      </w:r>
      <w:r w:rsidR="008E7172" w:rsidRPr="58CC08EC">
        <w:t xml:space="preserve">ja vähesele määratletusele </w:t>
      </w:r>
      <w:r w:rsidRPr="58CC08EC">
        <w:t xml:space="preserve">on varasemalt </w:t>
      </w:r>
      <w:r w:rsidR="008E7172" w:rsidRPr="58CC08EC">
        <w:t xml:space="preserve">korduvalt </w:t>
      </w:r>
      <w:r w:rsidRPr="58CC08EC">
        <w:t>tähelepanu pööranud õiguskantsler.</w:t>
      </w:r>
      <w:r w:rsidR="008E7172" w:rsidRPr="58CC08EC">
        <w:rPr>
          <w:rStyle w:val="FootnoteReference"/>
        </w:rPr>
        <w:footnoteReference w:id="10"/>
      </w:r>
      <w:r w:rsidRPr="58CC08EC">
        <w:t xml:space="preserve"> Tegemist on olulise teemaga, millel on laiem mõju kogu ühiskonnale, mitte ainult advokaatidele.</w:t>
      </w:r>
      <w:r w:rsidR="00EB1E68" w:rsidRPr="58CC08EC">
        <w:t xml:space="preserve"> Sisuliselt puudutab see</w:t>
      </w:r>
      <w:r w:rsidRPr="00A45C9F">
        <w:rPr>
          <w:szCs w:val="24"/>
        </w:rPr>
        <w:t xml:space="preserve"> </w:t>
      </w:r>
      <w:r w:rsidR="008E7172" w:rsidRPr="58CC08EC">
        <w:t xml:space="preserve">pea </w:t>
      </w:r>
      <w:r w:rsidRPr="58CC08EC">
        <w:t>igasugus</w:t>
      </w:r>
      <w:r w:rsidR="00B638B1" w:rsidRPr="58CC08EC">
        <w:t>e</w:t>
      </w:r>
      <w:r w:rsidRPr="00A45C9F">
        <w:rPr>
          <w:szCs w:val="24"/>
        </w:rPr>
        <w:t xml:space="preserve"> </w:t>
      </w:r>
      <w:r w:rsidR="00211185" w:rsidRPr="58CC08EC">
        <w:t xml:space="preserve">avaliku sektori </w:t>
      </w:r>
      <w:r w:rsidR="00EB1E68" w:rsidRPr="58CC08EC">
        <w:t xml:space="preserve">otsustusprotsessi </w:t>
      </w:r>
      <w:r w:rsidR="008E7172" w:rsidRPr="58CC08EC">
        <w:t>juures ole</w:t>
      </w:r>
      <w:r w:rsidR="00E1319B" w:rsidRPr="58CC08EC">
        <w:t>mist</w:t>
      </w:r>
      <w:r w:rsidRPr="58CC08EC">
        <w:t xml:space="preserve">. Seetõttu on äärmiselt oluline, et seda reguleeriv seadusandlus on selge ja üheselt arusaadav.  </w:t>
      </w:r>
      <w:r w:rsidR="5A2BE78E" w:rsidRPr="00A45C9F">
        <w:rPr>
          <w:szCs w:val="24"/>
        </w:rPr>
        <w:t xml:space="preserve"> </w:t>
      </w:r>
      <w:r w:rsidR="1C1D3E20">
        <w:t>.</w:t>
      </w:r>
      <w:r w:rsidR="51EE68B2">
        <w:t xml:space="preserve"> KVS-i muutmisel tuleb justnimelt seda arvesse võtta, et </w:t>
      </w:r>
      <w:r w:rsidR="3B4B0CE7">
        <w:t>toimingupiirangu rikkumise</w:t>
      </w:r>
      <w:r w:rsidR="001A2C95">
        <w:t xml:space="preserve"> tuleb kirjutada täpsemaks ja arusaadavamaks</w:t>
      </w:r>
      <w:r w:rsidR="6D38B254">
        <w:t xml:space="preserve">, kuid meie hinnangul </w:t>
      </w:r>
    </w:p>
    <w:p w14:paraId="1D8D0DAB" w14:textId="3ADD2484" w:rsidR="00BA3678" w:rsidRPr="00A45C9F" w:rsidRDefault="004D3D07" w:rsidP="001A2C95">
      <w:pPr>
        <w:jc w:val="both"/>
        <w:rPr>
          <w:szCs w:val="24"/>
        </w:rPr>
      </w:pPr>
      <w:r>
        <w:rPr>
          <w:szCs w:val="24"/>
        </w:rPr>
        <w:t>K</w:t>
      </w:r>
      <w:r w:rsidR="008D0F87" w:rsidRPr="00A45C9F">
        <w:rPr>
          <w:szCs w:val="24"/>
        </w:rPr>
        <w:t>ari</w:t>
      </w:r>
      <w:r w:rsidR="00A935AD" w:rsidRPr="00A45C9F">
        <w:rPr>
          <w:szCs w:val="24"/>
        </w:rPr>
        <w:t>s</w:t>
      </w:r>
      <w:r w:rsidR="008D0F87" w:rsidRPr="00A45C9F">
        <w:rPr>
          <w:szCs w:val="24"/>
        </w:rPr>
        <w:t>tusõiguses kehtiv määratletusnõue (</w:t>
      </w:r>
      <w:proofErr w:type="spellStart"/>
      <w:r w:rsidR="008D0F87" w:rsidRPr="00A45C9F">
        <w:rPr>
          <w:i/>
          <w:iCs/>
          <w:szCs w:val="24"/>
        </w:rPr>
        <w:t>nullum</w:t>
      </w:r>
      <w:proofErr w:type="spellEnd"/>
      <w:r w:rsidR="008D0F87" w:rsidRPr="00A45C9F">
        <w:rPr>
          <w:i/>
          <w:iCs/>
          <w:szCs w:val="24"/>
        </w:rPr>
        <w:t xml:space="preserve"> </w:t>
      </w:r>
      <w:proofErr w:type="spellStart"/>
      <w:r w:rsidR="008D0F87" w:rsidRPr="00A45C9F">
        <w:rPr>
          <w:i/>
          <w:iCs/>
          <w:szCs w:val="24"/>
        </w:rPr>
        <w:t>crimen</w:t>
      </w:r>
      <w:proofErr w:type="spellEnd"/>
      <w:r w:rsidR="008D0F87" w:rsidRPr="00A45C9F">
        <w:rPr>
          <w:i/>
          <w:iCs/>
          <w:szCs w:val="24"/>
        </w:rPr>
        <w:t xml:space="preserve"> </w:t>
      </w:r>
      <w:proofErr w:type="spellStart"/>
      <w:r w:rsidR="008D0F87" w:rsidRPr="00A45C9F">
        <w:rPr>
          <w:i/>
          <w:iCs/>
          <w:szCs w:val="24"/>
        </w:rPr>
        <w:t>nulla</w:t>
      </w:r>
      <w:proofErr w:type="spellEnd"/>
      <w:r w:rsidR="008D0F87" w:rsidRPr="00A45C9F">
        <w:rPr>
          <w:i/>
          <w:iCs/>
          <w:szCs w:val="24"/>
        </w:rPr>
        <w:t xml:space="preserve"> poena sine </w:t>
      </w:r>
      <w:proofErr w:type="spellStart"/>
      <w:r w:rsidR="008D0F87" w:rsidRPr="00A45C9F">
        <w:rPr>
          <w:i/>
          <w:iCs/>
          <w:szCs w:val="24"/>
        </w:rPr>
        <w:t>lege</w:t>
      </w:r>
      <w:proofErr w:type="spellEnd"/>
      <w:r w:rsidR="008D0F87" w:rsidRPr="00A45C9F">
        <w:rPr>
          <w:i/>
          <w:iCs/>
          <w:szCs w:val="24"/>
        </w:rPr>
        <w:t xml:space="preserve"> </w:t>
      </w:r>
      <w:proofErr w:type="spellStart"/>
      <w:r w:rsidR="008D0F87" w:rsidRPr="00A45C9F">
        <w:rPr>
          <w:i/>
          <w:iCs/>
          <w:szCs w:val="24"/>
        </w:rPr>
        <w:t>certa</w:t>
      </w:r>
      <w:proofErr w:type="spellEnd"/>
      <w:r w:rsidR="008D0F87" w:rsidRPr="00A45C9F">
        <w:rPr>
          <w:szCs w:val="24"/>
        </w:rPr>
        <w:t>)</w:t>
      </w:r>
      <w:r>
        <w:rPr>
          <w:szCs w:val="24"/>
        </w:rPr>
        <w:t xml:space="preserve"> tuleneb</w:t>
      </w:r>
      <w:r w:rsidR="008D0F87" w:rsidRPr="00A45C9F">
        <w:rPr>
          <w:szCs w:val="24"/>
        </w:rPr>
        <w:t xml:space="preserve"> </w:t>
      </w:r>
      <w:r w:rsidRPr="00A45C9F">
        <w:rPr>
          <w:szCs w:val="24"/>
        </w:rPr>
        <w:t xml:space="preserve">PS § 23 </w:t>
      </w:r>
      <w:proofErr w:type="spellStart"/>
      <w:r w:rsidRPr="00A45C9F">
        <w:rPr>
          <w:szCs w:val="24"/>
        </w:rPr>
        <w:t>lg-st</w:t>
      </w:r>
      <w:proofErr w:type="spellEnd"/>
      <w:r w:rsidRPr="00A45C9F">
        <w:rPr>
          <w:szCs w:val="24"/>
        </w:rPr>
        <w:t xml:space="preserve"> 1</w:t>
      </w:r>
      <w:r w:rsidR="00FC1342">
        <w:rPr>
          <w:szCs w:val="24"/>
        </w:rPr>
        <w:t xml:space="preserve">. </w:t>
      </w:r>
      <w:r w:rsidR="008D0F87" w:rsidRPr="00A45C9F">
        <w:rPr>
          <w:szCs w:val="24"/>
        </w:rPr>
        <w:t xml:space="preserve">Selle kohaselt peab nii tegu, mille eest seadus karistuse ette näeb, kui ka karistus olema selgelt määratletud. </w:t>
      </w:r>
      <w:r w:rsidR="008D0F87" w:rsidRPr="00A45C9F">
        <w:rPr>
          <w:szCs w:val="24"/>
          <w:u w:val="single"/>
        </w:rPr>
        <w:t>Karistusnormi määratletus tagab selle, et igaühel on võimalik ette näha, milline käitumine on keelatud ja karistatav</w:t>
      </w:r>
      <w:r w:rsidR="008D0F87" w:rsidRPr="00A45C9F">
        <w:rPr>
          <w:szCs w:val="24"/>
        </w:rPr>
        <w:t xml:space="preserve"> ning milline karistus selle eest ähvardab, et ta saaks oma käitumist vastavalt kujundada.</w:t>
      </w:r>
      <w:r w:rsidR="008D0F87" w:rsidRPr="00A45C9F">
        <w:rPr>
          <w:rStyle w:val="FootnoteReference"/>
          <w:szCs w:val="24"/>
        </w:rPr>
        <w:footnoteReference w:id="11"/>
      </w:r>
      <w:r w:rsidR="009E1AB4" w:rsidRPr="00A45C9F">
        <w:rPr>
          <w:szCs w:val="24"/>
        </w:rPr>
        <w:t xml:space="preserve"> Määratletuspõhimõtte järgimist nõuab ka inimõiguste ja põhivabaduste kaitse konventsiooni artikkel 7.</w:t>
      </w:r>
      <w:r w:rsidR="009E1AB4" w:rsidRPr="00A45C9F">
        <w:rPr>
          <w:rStyle w:val="FootnoteReference"/>
          <w:szCs w:val="24"/>
        </w:rPr>
        <w:footnoteReference w:id="12"/>
      </w:r>
    </w:p>
    <w:p w14:paraId="25590B0E" w14:textId="77777777" w:rsidR="002A7530" w:rsidRPr="00A45C9F" w:rsidRDefault="002A7530" w:rsidP="001A2C95">
      <w:pPr>
        <w:jc w:val="both"/>
        <w:rPr>
          <w:szCs w:val="24"/>
        </w:rPr>
      </w:pPr>
    </w:p>
    <w:p w14:paraId="5D6FF5B5" w14:textId="738B14DC" w:rsidR="008F2E3F" w:rsidRPr="00A45C9F" w:rsidRDefault="002A7530" w:rsidP="001A2C95">
      <w:pPr>
        <w:jc w:val="both"/>
        <w:rPr>
          <w:szCs w:val="24"/>
        </w:rPr>
      </w:pPr>
      <w:r w:rsidRPr="00A45C9F">
        <w:rPr>
          <w:szCs w:val="24"/>
        </w:rPr>
        <w:t>Karistusnormi määratletuse nõue on täidetud, kui isik saab vastava sätte sõnastusest ja vajadusel kohtute tõlgendamise abil aru, milliste tegude ja tegevusetuse tulemusel võetakse ta kriminaalvastutusele.</w:t>
      </w:r>
      <w:r w:rsidRPr="00A45C9F">
        <w:rPr>
          <w:rStyle w:val="FootnoteReference"/>
          <w:szCs w:val="24"/>
        </w:rPr>
        <w:footnoteReference w:id="13"/>
      </w:r>
      <w:r w:rsidR="00A935AD" w:rsidRPr="00A45C9F">
        <w:rPr>
          <w:szCs w:val="24"/>
        </w:rPr>
        <w:t xml:space="preserve"> </w:t>
      </w:r>
      <w:r w:rsidRPr="00A45C9F">
        <w:rPr>
          <w:szCs w:val="24"/>
        </w:rPr>
        <w:t>Nimetatud põhjustel tuleb iseäranis karistusõigusnormi sisu selgitamisel esmajoones tugineda selle grammatilisele tõlgendamisele.</w:t>
      </w:r>
      <w:r w:rsidRPr="00A45C9F">
        <w:rPr>
          <w:rStyle w:val="FootnoteReference"/>
          <w:szCs w:val="24"/>
        </w:rPr>
        <w:footnoteReference w:id="14"/>
      </w:r>
      <w:r w:rsidR="00211185" w:rsidRPr="00A45C9F">
        <w:rPr>
          <w:szCs w:val="24"/>
        </w:rPr>
        <w:t xml:space="preserve"> </w:t>
      </w:r>
      <w:r w:rsidR="008F2E3F" w:rsidRPr="00A45C9F">
        <w:rPr>
          <w:szCs w:val="24"/>
        </w:rPr>
        <w:t xml:space="preserve">Samuti on Riigikohus selgitanud, et kuriteokoosseisude ülemäära lai tõlgendamine võib viia karistusõiguse kui </w:t>
      </w:r>
      <w:proofErr w:type="spellStart"/>
      <w:r w:rsidR="008F2E3F" w:rsidRPr="00A45C9F">
        <w:rPr>
          <w:i/>
          <w:iCs/>
          <w:szCs w:val="24"/>
        </w:rPr>
        <w:t>ultima</w:t>
      </w:r>
      <w:proofErr w:type="spellEnd"/>
      <w:r w:rsidR="008F2E3F" w:rsidRPr="00A45C9F">
        <w:rPr>
          <w:i/>
          <w:iCs/>
          <w:szCs w:val="24"/>
        </w:rPr>
        <w:t xml:space="preserve"> </w:t>
      </w:r>
      <w:proofErr w:type="spellStart"/>
      <w:r w:rsidR="008F2E3F" w:rsidRPr="00A45C9F">
        <w:rPr>
          <w:i/>
          <w:iCs/>
          <w:szCs w:val="24"/>
        </w:rPr>
        <w:t>ratio</w:t>
      </w:r>
      <w:proofErr w:type="spellEnd"/>
      <w:r w:rsidR="008F2E3F" w:rsidRPr="00A45C9F">
        <w:rPr>
          <w:szCs w:val="24"/>
        </w:rPr>
        <w:t xml:space="preserve"> ehk viimase abinõu põhimõtte ning PS § 23 </w:t>
      </w:r>
      <w:proofErr w:type="spellStart"/>
      <w:r w:rsidR="008F2E3F" w:rsidRPr="00A45C9F">
        <w:rPr>
          <w:szCs w:val="24"/>
        </w:rPr>
        <w:t>lg-s</w:t>
      </w:r>
      <w:proofErr w:type="spellEnd"/>
      <w:r w:rsidR="008F2E3F" w:rsidRPr="00A45C9F">
        <w:rPr>
          <w:szCs w:val="24"/>
        </w:rPr>
        <w:t xml:space="preserve"> 1 sätestatud määratletuspõhimõtte kui õigusriikliku karistusõiguse ühtede kõige </w:t>
      </w:r>
      <w:r w:rsidR="00A379A7" w:rsidRPr="00A45C9F">
        <w:rPr>
          <w:szCs w:val="24"/>
        </w:rPr>
        <w:t>olulisemate</w:t>
      </w:r>
      <w:r w:rsidR="008F2E3F" w:rsidRPr="00A45C9F">
        <w:rPr>
          <w:szCs w:val="24"/>
        </w:rPr>
        <w:t xml:space="preserve"> </w:t>
      </w:r>
      <w:r w:rsidR="00A379A7" w:rsidRPr="00A45C9F">
        <w:rPr>
          <w:szCs w:val="24"/>
        </w:rPr>
        <w:t>põhimõtete</w:t>
      </w:r>
      <w:r w:rsidR="008F2E3F" w:rsidRPr="00A45C9F">
        <w:rPr>
          <w:szCs w:val="24"/>
        </w:rPr>
        <w:t xml:space="preserve"> rikkumiseni.</w:t>
      </w:r>
      <w:r w:rsidR="008F2E3F" w:rsidRPr="00A45C9F">
        <w:rPr>
          <w:szCs w:val="24"/>
          <w:vertAlign w:val="superscript"/>
        </w:rPr>
        <w:footnoteReference w:id="15"/>
      </w:r>
    </w:p>
    <w:p w14:paraId="168EFBA1" w14:textId="6230A087" w:rsidR="00BA3678" w:rsidRPr="00A45C9F" w:rsidRDefault="00E96FAE" w:rsidP="001A2C95">
      <w:pPr>
        <w:jc w:val="both"/>
        <w:rPr>
          <w:szCs w:val="24"/>
        </w:rPr>
      </w:pPr>
      <w:r w:rsidRPr="00A45C9F">
        <w:rPr>
          <w:szCs w:val="24"/>
        </w:rPr>
        <w:lastRenderedPageBreak/>
        <w:t>Nagu ülal</w:t>
      </w:r>
      <w:r w:rsidR="001A2C95" w:rsidRPr="00A45C9F">
        <w:rPr>
          <w:szCs w:val="24"/>
        </w:rPr>
        <w:t xml:space="preserve"> (p-s 1)</w:t>
      </w:r>
      <w:r w:rsidRPr="00A45C9F">
        <w:rPr>
          <w:szCs w:val="24"/>
        </w:rPr>
        <w:t xml:space="preserve"> juba selgitatud, siis</w:t>
      </w:r>
      <w:r w:rsidR="002E7C7E" w:rsidRPr="00A45C9F">
        <w:rPr>
          <w:szCs w:val="24"/>
        </w:rPr>
        <w:t xml:space="preserve"> ka kavandatava eelnõu kohaselt võib KVS-i kohaldamisalasse sattuda advokaat tulenevalt avaliku ülesannet täitva asutusega kliendisuhte loomisest. </w:t>
      </w:r>
      <w:r w:rsidR="00B0103F" w:rsidRPr="00A45C9F">
        <w:rPr>
          <w:szCs w:val="24"/>
          <w:u w:val="single"/>
        </w:rPr>
        <w:t>Eelnõuga ei ole kitsendatud ametiisiku mõistet ega välistatud advokaadi ametiseisundi tekkimist</w:t>
      </w:r>
      <w:r w:rsidR="00B0103F" w:rsidRPr="00A45C9F">
        <w:rPr>
          <w:szCs w:val="24"/>
        </w:rPr>
        <w:t xml:space="preserve">. </w:t>
      </w:r>
      <w:r w:rsidR="002E7C7E" w:rsidRPr="00A45C9F">
        <w:rPr>
          <w:szCs w:val="24"/>
        </w:rPr>
        <w:t>Advokaadi ametiseisund võib tekkida ainuüksi seetõttu, et advokaadi poolt osutatava õigusteenuse sisuks on ametiasutuse jooksev nõustamine või õigusliku analüüsi koostamine.</w:t>
      </w:r>
      <w:r w:rsidR="006A75FC" w:rsidRPr="00A45C9F">
        <w:rPr>
          <w:szCs w:val="24"/>
        </w:rPr>
        <w:t xml:space="preserve"> </w:t>
      </w:r>
      <w:r w:rsidR="007463BF" w:rsidRPr="00A45C9F">
        <w:rPr>
          <w:szCs w:val="24"/>
        </w:rPr>
        <w:t xml:space="preserve">Eeltoodud tõlgendust on </w:t>
      </w:r>
      <w:r w:rsidR="007E1E8A">
        <w:rPr>
          <w:szCs w:val="24"/>
        </w:rPr>
        <w:t xml:space="preserve">kinnitanud ka </w:t>
      </w:r>
      <w:r w:rsidR="007463BF" w:rsidRPr="00A45C9F">
        <w:rPr>
          <w:szCs w:val="24"/>
        </w:rPr>
        <w:t>Riigikohus.</w:t>
      </w:r>
      <w:r w:rsidR="00892544">
        <w:rPr>
          <w:rStyle w:val="FootnoteReference"/>
          <w:szCs w:val="24"/>
        </w:rPr>
        <w:footnoteReference w:id="16"/>
      </w:r>
    </w:p>
    <w:p w14:paraId="7438371B" w14:textId="77777777" w:rsidR="00A379A7" w:rsidRPr="00A45C9F" w:rsidRDefault="00A379A7" w:rsidP="001A2C95">
      <w:pPr>
        <w:jc w:val="both"/>
        <w:rPr>
          <w:szCs w:val="24"/>
        </w:rPr>
      </w:pPr>
    </w:p>
    <w:p w14:paraId="204452AD" w14:textId="55A3BBB7" w:rsidR="00A06662" w:rsidRPr="00A45C9F" w:rsidRDefault="00A379A7" w:rsidP="001A2C95">
      <w:pPr>
        <w:jc w:val="both"/>
        <w:rPr>
          <w:szCs w:val="24"/>
        </w:rPr>
      </w:pPr>
      <w:r w:rsidRPr="00A45C9F">
        <w:rPr>
          <w:szCs w:val="24"/>
        </w:rPr>
        <w:t xml:space="preserve">Otsesõnu ei ole </w:t>
      </w:r>
      <w:r w:rsidR="00FF5A4D" w:rsidRPr="00A45C9F">
        <w:rPr>
          <w:szCs w:val="24"/>
        </w:rPr>
        <w:t xml:space="preserve">seadusandja </w:t>
      </w:r>
      <w:r w:rsidRPr="00A45C9F">
        <w:rPr>
          <w:szCs w:val="24"/>
        </w:rPr>
        <w:t xml:space="preserve">sellist võimalust ette näinud, et avalikule sektorile õigusteenust osutav advokaat muutuks pelgalt õigusteenuse osutamisega ametiisikuks. Eelnõuga kavandatavad muudatused jätavad selle jaoks siiski </w:t>
      </w:r>
      <w:r w:rsidR="001A2C95" w:rsidRPr="00A45C9F">
        <w:rPr>
          <w:szCs w:val="24"/>
        </w:rPr>
        <w:t xml:space="preserve">piltlikult öeldes </w:t>
      </w:r>
      <w:r w:rsidR="006A75FC" w:rsidRPr="00A45C9F">
        <w:rPr>
          <w:szCs w:val="24"/>
        </w:rPr>
        <w:t xml:space="preserve">endiselt </w:t>
      </w:r>
      <w:r w:rsidR="00B557B6" w:rsidRPr="00A45C9F">
        <w:rPr>
          <w:szCs w:val="24"/>
        </w:rPr>
        <w:t>„</w:t>
      </w:r>
      <w:r w:rsidRPr="00A45C9F">
        <w:rPr>
          <w:szCs w:val="24"/>
        </w:rPr>
        <w:t>ukse lahti</w:t>
      </w:r>
      <w:r w:rsidR="00B557B6" w:rsidRPr="00A45C9F">
        <w:rPr>
          <w:szCs w:val="24"/>
        </w:rPr>
        <w:t>“</w:t>
      </w:r>
      <w:r w:rsidRPr="00A45C9F">
        <w:rPr>
          <w:szCs w:val="24"/>
        </w:rPr>
        <w:t xml:space="preserve">. Ametiisikuks olemine ja saamine </w:t>
      </w:r>
      <w:r w:rsidR="00BE48D4" w:rsidRPr="00A45C9F">
        <w:rPr>
          <w:szCs w:val="24"/>
        </w:rPr>
        <w:t xml:space="preserve">ning toimingupiirangu tekkimine </w:t>
      </w:r>
      <w:r w:rsidRPr="00A45C9F">
        <w:rPr>
          <w:szCs w:val="24"/>
        </w:rPr>
        <w:t>peaks olema üheselt selge nagu ka äriühingu juhatuse liikmeks saamine</w:t>
      </w:r>
      <w:r w:rsidR="00BE48D4" w:rsidRPr="00A45C9F">
        <w:rPr>
          <w:szCs w:val="24"/>
        </w:rPr>
        <w:t xml:space="preserve"> või äriühingus osaluse omandamine</w:t>
      </w:r>
      <w:r w:rsidRPr="00A45C9F">
        <w:rPr>
          <w:szCs w:val="24"/>
        </w:rPr>
        <w:t>.</w:t>
      </w:r>
      <w:r w:rsidR="00BE48D4" w:rsidRPr="00A45C9F">
        <w:rPr>
          <w:szCs w:val="24"/>
        </w:rPr>
        <w:t xml:space="preserve"> Samuti peaks ametiseisundi loomine välisele õigusnõustajale olema väga selge õigusteenust </w:t>
      </w:r>
      <w:r w:rsidR="00892544">
        <w:rPr>
          <w:szCs w:val="24"/>
        </w:rPr>
        <w:t>tellivale</w:t>
      </w:r>
      <w:r w:rsidR="00892544" w:rsidRPr="00A45C9F">
        <w:rPr>
          <w:szCs w:val="24"/>
        </w:rPr>
        <w:t xml:space="preserve"> </w:t>
      </w:r>
      <w:r w:rsidR="00BE48D4" w:rsidRPr="00A45C9F">
        <w:rPr>
          <w:szCs w:val="24"/>
        </w:rPr>
        <w:t>asutusele.</w:t>
      </w:r>
      <w:r w:rsidRPr="00A45C9F">
        <w:rPr>
          <w:szCs w:val="24"/>
        </w:rPr>
        <w:t xml:space="preserve"> See ei saa sündida kellegi (olgu see </w:t>
      </w:r>
      <w:r w:rsidR="001A2C95" w:rsidRPr="00A45C9F">
        <w:rPr>
          <w:szCs w:val="24"/>
        </w:rPr>
        <w:t>prokuratuuri või kohtu</w:t>
      </w:r>
      <w:r w:rsidRPr="00A45C9F">
        <w:rPr>
          <w:szCs w:val="24"/>
        </w:rPr>
        <w:t>) subjektiivse tõlgenduse kohaselt aastaid hiljem.</w:t>
      </w:r>
      <w:r w:rsidR="001A2C95" w:rsidRPr="00A45C9F">
        <w:rPr>
          <w:szCs w:val="24"/>
        </w:rPr>
        <w:t xml:space="preserve"> </w:t>
      </w:r>
    </w:p>
    <w:p w14:paraId="2C0BF78D" w14:textId="77777777" w:rsidR="006A75FC" w:rsidRPr="00A45C9F" w:rsidRDefault="006A75FC" w:rsidP="001A2C95">
      <w:pPr>
        <w:jc w:val="both"/>
        <w:rPr>
          <w:szCs w:val="24"/>
        </w:rPr>
      </w:pPr>
    </w:p>
    <w:p w14:paraId="11F78147" w14:textId="319D4E19" w:rsidR="006A75FC" w:rsidRPr="00A45C9F" w:rsidRDefault="00493A24" w:rsidP="001A2C95">
      <w:pPr>
        <w:jc w:val="both"/>
        <w:rPr>
          <w:szCs w:val="24"/>
        </w:rPr>
      </w:pPr>
      <w:r>
        <w:rPr>
          <w:szCs w:val="24"/>
        </w:rPr>
        <w:t>A</w:t>
      </w:r>
      <w:r w:rsidR="006A75FC" w:rsidRPr="00A45C9F">
        <w:rPr>
          <w:szCs w:val="24"/>
        </w:rPr>
        <w:t>metiisiku mõiste konkretiseerimise</w:t>
      </w:r>
      <w:r>
        <w:rPr>
          <w:szCs w:val="24"/>
        </w:rPr>
        <w:t xml:space="preserve"> hädavajalikkust</w:t>
      </w:r>
      <w:r w:rsidR="006A75FC" w:rsidRPr="00A45C9F">
        <w:rPr>
          <w:szCs w:val="24"/>
        </w:rPr>
        <w:t xml:space="preserve"> ilmestab Riigikohtu </w:t>
      </w:r>
      <w:r w:rsidR="00857114">
        <w:rPr>
          <w:szCs w:val="24"/>
        </w:rPr>
        <w:t>sedastamine</w:t>
      </w:r>
      <w:r w:rsidR="006A75FC" w:rsidRPr="00A45C9F">
        <w:rPr>
          <w:szCs w:val="24"/>
        </w:rPr>
        <w:t xml:space="preserve"> </w:t>
      </w:r>
      <w:proofErr w:type="spellStart"/>
      <w:r w:rsidR="006A75FC" w:rsidRPr="00A45C9F">
        <w:rPr>
          <w:i/>
          <w:iCs/>
          <w:szCs w:val="24"/>
        </w:rPr>
        <w:t>expressis</w:t>
      </w:r>
      <w:proofErr w:type="spellEnd"/>
      <w:r w:rsidR="006A75FC" w:rsidRPr="00A45C9F">
        <w:rPr>
          <w:i/>
          <w:iCs/>
          <w:szCs w:val="24"/>
        </w:rPr>
        <w:t xml:space="preserve"> verbis</w:t>
      </w:r>
      <w:r w:rsidR="006A75FC" w:rsidRPr="00A45C9F">
        <w:rPr>
          <w:szCs w:val="24"/>
        </w:rPr>
        <w:t>, et õigusalane nõustamine võib endast kujutada otsuse või toimingu sisulist suunamist.</w:t>
      </w:r>
      <w:r w:rsidR="006A75FC" w:rsidRPr="00A45C9F">
        <w:rPr>
          <w:szCs w:val="24"/>
          <w:vertAlign w:val="superscript"/>
        </w:rPr>
        <w:footnoteReference w:id="17"/>
      </w:r>
      <w:r w:rsidR="006A75FC" w:rsidRPr="00A45C9F">
        <w:rPr>
          <w:szCs w:val="24"/>
        </w:rPr>
        <w:t xml:space="preserve"> Ehk advokaat võib muutuda ametiisikuks KVS § 2 mõttes avalikus sektoris õigusteenuse osutamise läbi. Riigikohus selgitas veel, et ametiisiku mõiste avar materiaalne määratlus on seadusandja teadlik valik</w:t>
      </w:r>
      <w:r w:rsidR="006A75FC" w:rsidRPr="00A45C9F">
        <w:rPr>
          <w:szCs w:val="24"/>
          <w:vertAlign w:val="superscript"/>
        </w:rPr>
        <w:footnoteReference w:id="18"/>
      </w:r>
      <w:r w:rsidR="006A75FC" w:rsidRPr="00A45C9F">
        <w:rPr>
          <w:szCs w:val="24"/>
        </w:rPr>
        <w:t xml:space="preserve">, vihjates seeläbi tegelikkuses otsesõnu, et </w:t>
      </w:r>
      <w:r w:rsidR="006A75FC" w:rsidRPr="00A45C9F">
        <w:rPr>
          <w:szCs w:val="24"/>
          <w:u w:val="single"/>
        </w:rPr>
        <w:t>ametiisiku mõiste</w:t>
      </w:r>
      <w:r w:rsidR="00B52D1B" w:rsidRPr="00A45C9F">
        <w:rPr>
          <w:szCs w:val="24"/>
          <w:u w:val="single"/>
        </w:rPr>
        <w:t xml:space="preserve"> ja seega toimingupiirangu kohaldamisala</w:t>
      </w:r>
      <w:r w:rsidR="006A75FC" w:rsidRPr="00A45C9F">
        <w:rPr>
          <w:szCs w:val="24"/>
          <w:u w:val="single"/>
        </w:rPr>
        <w:t xml:space="preserve"> kitsendamiseks on tarviklik seadusandja sekkumine seaduse muutmise läbi</w:t>
      </w:r>
      <w:r w:rsidR="006A75FC" w:rsidRPr="00A45C9F">
        <w:rPr>
          <w:szCs w:val="24"/>
        </w:rPr>
        <w:t>.</w:t>
      </w:r>
    </w:p>
    <w:p w14:paraId="446A7940" w14:textId="77777777" w:rsidR="00311561" w:rsidRPr="00A45C9F" w:rsidRDefault="00311561" w:rsidP="001A2C95">
      <w:pPr>
        <w:jc w:val="both"/>
        <w:rPr>
          <w:szCs w:val="24"/>
        </w:rPr>
      </w:pPr>
    </w:p>
    <w:p w14:paraId="2AF89E6F" w14:textId="7F102EC2" w:rsidR="00311561" w:rsidRPr="00A45C9F" w:rsidRDefault="006A75FC" w:rsidP="001A2C95">
      <w:pPr>
        <w:jc w:val="both"/>
        <w:rPr>
          <w:szCs w:val="24"/>
        </w:rPr>
      </w:pPr>
      <w:r w:rsidRPr="00A45C9F">
        <w:rPr>
          <w:szCs w:val="24"/>
        </w:rPr>
        <w:t>Probleem</w:t>
      </w:r>
      <w:r w:rsidR="00816C90">
        <w:rPr>
          <w:szCs w:val="24"/>
        </w:rPr>
        <w:t>n</w:t>
      </w:r>
      <w:r w:rsidRPr="00A45C9F">
        <w:rPr>
          <w:szCs w:val="24"/>
        </w:rPr>
        <w:t xml:space="preserve">e ei ole vaid ametiisiku määratlus KVS § 2 mõttes, kavandatav eelnõu ei muuda ka toimingupiirangu rikkumise definitsiooni KVS § 11 mõttes oluliselt selgemaks.  </w:t>
      </w:r>
      <w:r w:rsidR="00311561" w:rsidRPr="00A45C9F">
        <w:rPr>
          <w:szCs w:val="24"/>
        </w:rPr>
        <w:t xml:space="preserve">KVS § 11 </w:t>
      </w:r>
      <w:proofErr w:type="spellStart"/>
      <w:r w:rsidR="00311561" w:rsidRPr="00A45C9F">
        <w:rPr>
          <w:szCs w:val="24"/>
        </w:rPr>
        <w:t>lg-s</w:t>
      </w:r>
      <w:proofErr w:type="spellEnd"/>
      <w:r w:rsidR="00311561" w:rsidRPr="00A45C9F">
        <w:rPr>
          <w:szCs w:val="24"/>
        </w:rPr>
        <w:t xml:space="preserve"> 1 on kavandatud kaks muudatust, millest ühega muudetakse viidatud sätte </w:t>
      </w:r>
      <w:proofErr w:type="spellStart"/>
      <w:r w:rsidR="00311561" w:rsidRPr="00A45C9F">
        <w:rPr>
          <w:szCs w:val="24"/>
        </w:rPr>
        <w:t>p-i</w:t>
      </w:r>
      <w:proofErr w:type="spellEnd"/>
      <w:r w:rsidR="00311561" w:rsidRPr="00A45C9F">
        <w:rPr>
          <w:szCs w:val="24"/>
        </w:rPr>
        <w:t xml:space="preserve"> 2 ja teisega tunnistatakse p 3 kehtetuks. </w:t>
      </w:r>
      <w:r w:rsidR="00DC1BE4" w:rsidRPr="00A45C9F">
        <w:rPr>
          <w:szCs w:val="24"/>
        </w:rPr>
        <w:t xml:space="preserve">KVS § 11 lg 1 p 3 kehtetuks tunnistamine on kahtlemata õige lähenemine. </w:t>
      </w:r>
    </w:p>
    <w:p w14:paraId="21EB5907" w14:textId="77777777" w:rsidR="001208CD" w:rsidRPr="00A45C9F" w:rsidRDefault="001208CD" w:rsidP="001A2C95">
      <w:pPr>
        <w:jc w:val="both"/>
        <w:rPr>
          <w:szCs w:val="24"/>
        </w:rPr>
      </w:pPr>
    </w:p>
    <w:p w14:paraId="7F450B5C" w14:textId="09ED82E4" w:rsidR="00311561" w:rsidRPr="00A45C9F" w:rsidRDefault="00311561">
      <w:pPr>
        <w:jc w:val="both"/>
      </w:pPr>
      <w:r>
        <w:t>Probleem</w:t>
      </w:r>
      <w:r w:rsidR="001208CD">
        <w:t>ne</w:t>
      </w:r>
      <w:r>
        <w:t xml:space="preserve"> on</w:t>
      </w:r>
      <w:r w:rsidR="001208CD">
        <w:t xml:space="preserve"> aga</w:t>
      </w:r>
      <w:r>
        <w:t xml:space="preserve"> KVS § 11 lg 1 p 2. Eelnõuga muudetakse viidatud sätte sõnastust ja jäetakse sealt välja sõna „teadlik“. Õige on see, et sõna „teadlikkus“ ei anna sisuliselt sätte mõttele midagi juurde ega muudaks põhimõtteid karistusõiguslikus vastutuses</w:t>
      </w:r>
      <w:r w:rsidR="00211185">
        <w:t xml:space="preserve">, sest teadlikkusele viidatakse nii KVS §-s 19 kui ka </w:t>
      </w:r>
      <w:proofErr w:type="spellStart"/>
      <w:r w:rsidR="00211185">
        <w:t>KarS</w:t>
      </w:r>
      <w:proofErr w:type="spellEnd"/>
      <w:r w:rsidR="00211185">
        <w:t xml:space="preserve"> §-s 300</w:t>
      </w:r>
      <w:r w:rsidR="00211185" w:rsidRPr="58CC08EC">
        <w:rPr>
          <w:vertAlign w:val="superscript"/>
        </w:rPr>
        <w:t>1</w:t>
      </w:r>
      <w:r>
        <w:t xml:space="preserve">. </w:t>
      </w:r>
      <w:r w:rsidR="645B1C8E">
        <w:t>T</w:t>
      </w:r>
      <w:r w:rsidR="001208CD">
        <w:t xml:space="preserve">egemist </w:t>
      </w:r>
      <w:r w:rsidR="1BBA452A">
        <w:t xml:space="preserve">on </w:t>
      </w:r>
      <w:r>
        <w:t>sisutühja muudatusega</w:t>
      </w:r>
      <w:r w:rsidR="00C50198">
        <w:t xml:space="preserve">, mis eelnõu seletuskirja loogikat järgides ei muuda </w:t>
      </w:r>
      <w:r w:rsidR="00726D3F">
        <w:t>§ 11 lg 1 p 2</w:t>
      </w:r>
      <w:r w:rsidR="00C50198">
        <w:t xml:space="preserve"> kohaldamisala</w:t>
      </w:r>
      <w:r w:rsidR="00C35334">
        <w:t xml:space="preserve"> ning kujutab endast üksnes keeletoimetuslikku formalismi kõrvaldamist, </w:t>
      </w:r>
      <w:r w:rsidR="00726D3F">
        <w:t xml:space="preserve">loomata seeläbi </w:t>
      </w:r>
      <w:r w:rsidR="002D1CC0">
        <w:t>vajalikku õigusselgust.</w:t>
      </w:r>
    </w:p>
    <w:p w14:paraId="091EFCDD" w14:textId="77777777" w:rsidR="00520884" w:rsidRPr="00A45C9F" w:rsidRDefault="00520884" w:rsidP="001A2C95">
      <w:pPr>
        <w:jc w:val="both"/>
        <w:rPr>
          <w:szCs w:val="24"/>
        </w:rPr>
      </w:pPr>
    </w:p>
    <w:p w14:paraId="7D33CF18" w14:textId="2403EC08" w:rsidR="009F03A3" w:rsidRPr="00A45C9F" w:rsidRDefault="009F03A3" w:rsidP="001A2C95">
      <w:pPr>
        <w:jc w:val="both"/>
        <w:rPr>
          <w:szCs w:val="24"/>
        </w:rPr>
      </w:pPr>
      <w:r w:rsidRPr="00A45C9F">
        <w:rPr>
          <w:szCs w:val="24"/>
        </w:rPr>
        <w:t xml:space="preserve">KVS § 11 kohta </w:t>
      </w:r>
      <w:r w:rsidR="00143C5B">
        <w:rPr>
          <w:szCs w:val="24"/>
        </w:rPr>
        <w:t>on</w:t>
      </w:r>
      <w:r w:rsidRPr="00A45C9F">
        <w:rPr>
          <w:szCs w:val="24"/>
        </w:rPr>
        <w:t xml:space="preserve"> </w:t>
      </w:r>
      <w:r w:rsidR="00520884" w:rsidRPr="00A45C9F">
        <w:rPr>
          <w:szCs w:val="24"/>
        </w:rPr>
        <w:t xml:space="preserve">Tallinna Ringkonnakohus </w:t>
      </w:r>
      <w:r w:rsidR="00B87E0C">
        <w:rPr>
          <w:szCs w:val="24"/>
        </w:rPr>
        <w:t>leidnud</w:t>
      </w:r>
      <w:r w:rsidR="001208CD" w:rsidRPr="00A45C9F">
        <w:rPr>
          <w:szCs w:val="24"/>
        </w:rPr>
        <w:t xml:space="preserve"> </w:t>
      </w:r>
      <w:r w:rsidR="00520884" w:rsidRPr="00A45C9F">
        <w:rPr>
          <w:szCs w:val="24"/>
        </w:rPr>
        <w:t>järgnevalt</w:t>
      </w:r>
      <w:r w:rsidRPr="00A45C9F">
        <w:rPr>
          <w:szCs w:val="24"/>
        </w:rPr>
        <w:t xml:space="preserve">: </w:t>
      </w:r>
      <w:r w:rsidRPr="00A45C9F">
        <w:rPr>
          <w:i/>
          <w:iCs/>
          <w:szCs w:val="24"/>
        </w:rPr>
        <w:t>Nii näiteks on KVS § 11 lg 1 p 2 järgi toimingupiirangu rikkumisega tegemist siis, kui ametiisik on teadlik tema enda või temaga seotud isiku majanduslikust või muust huvist, mis võib mõjutada toimingut või otsust. Koosmõjus KVS § 7 lg 1 p-ga 4 võib see tähendada, et isiku karistusõiguslik vastutus sõltub tervest jadast määratlemata õigusmõistetest: näiteks rikub toimingupiirangut ametiisik, kes osaleb toimingu tegemisel ja sealjuures on ta teadlik mõne teda oluliselt ja vahetult mõjutava isiku muust huvist, mis võib mõjutada tehtavat toimingut.</w:t>
      </w:r>
      <w:r w:rsidR="00B87E0C">
        <w:rPr>
          <w:rStyle w:val="FootnoteReference"/>
          <w:i/>
          <w:iCs/>
          <w:szCs w:val="24"/>
        </w:rPr>
        <w:footnoteReference w:id="19"/>
      </w:r>
      <w:r w:rsidRPr="00A45C9F">
        <w:rPr>
          <w:szCs w:val="24"/>
        </w:rPr>
        <w:t xml:space="preserve"> </w:t>
      </w:r>
      <w:r w:rsidR="00311561" w:rsidRPr="00A45C9F">
        <w:rPr>
          <w:szCs w:val="24"/>
        </w:rPr>
        <w:t>K</w:t>
      </w:r>
      <w:r w:rsidR="007E4DC0">
        <w:rPr>
          <w:szCs w:val="24"/>
        </w:rPr>
        <w:t>avandatava</w:t>
      </w:r>
      <w:r w:rsidR="001841AD">
        <w:rPr>
          <w:szCs w:val="24"/>
        </w:rPr>
        <w:t xml:space="preserve"> </w:t>
      </w:r>
      <w:r w:rsidR="00311561" w:rsidRPr="00A45C9F">
        <w:rPr>
          <w:szCs w:val="24"/>
        </w:rPr>
        <w:t xml:space="preserve"> eelnõuga muudetakse mõlemat eelviidatud sätet, kuid </w:t>
      </w:r>
      <w:r w:rsidR="001208CD" w:rsidRPr="00A45C9F">
        <w:rPr>
          <w:szCs w:val="24"/>
        </w:rPr>
        <w:t>r</w:t>
      </w:r>
      <w:r w:rsidR="00311561" w:rsidRPr="00A45C9F">
        <w:rPr>
          <w:szCs w:val="24"/>
        </w:rPr>
        <w:t>ingkonnakohtu</w:t>
      </w:r>
      <w:r w:rsidR="00E2297D" w:rsidRPr="00A45C9F">
        <w:rPr>
          <w:szCs w:val="24"/>
        </w:rPr>
        <w:t xml:space="preserve"> poolt esile toodud</w:t>
      </w:r>
      <w:r w:rsidR="00311561" w:rsidRPr="00A45C9F">
        <w:rPr>
          <w:szCs w:val="24"/>
        </w:rPr>
        <w:t xml:space="preserve"> probleem jääb </w:t>
      </w:r>
      <w:r w:rsidR="001A2C95" w:rsidRPr="00A45C9F">
        <w:rPr>
          <w:szCs w:val="24"/>
        </w:rPr>
        <w:t xml:space="preserve">tegelikult </w:t>
      </w:r>
      <w:r w:rsidR="00311561" w:rsidRPr="00A45C9F">
        <w:rPr>
          <w:szCs w:val="24"/>
        </w:rPr>
        <w:t>alles.</w:t>
      </w:r>
    </w:p>
    <w:p w14:paraId="0FB2CDCA" w14:textId="6F51A168" w:rsidR="00520884" w:rsidRPr="00A45C9F" w:rsidRDefault="00311561" w:rsidP="001A2C95">
      <w:pPr>
        <w:jc w:val="both"/>
      </w:pPr>
      <w:r w:rsidRPr="5272CDCF">
        <w:lastRenderedPageBreak/>
        <w:t>Ka kavandatud sõnastusega KVS §</w:t>
      </w:r>
      <w:r w:rsidR="00A45C9F" w:rsidRPr="00A45C9F">
        <w:rPr>
          <w:szCs w:val="24"/>
        </w:rPr>
        <w:t xml:space="preserve"> </w:t>
      </w:r>
      <w:r w:rsidRPr="5272CDCF">
        <w:t xml:space="preserve">11 lg 1 p 2 </w:t>
      </w:r>
      <w:r w:rsidR="002C5E59" w:rsidRPr="5272CDCF">
        <w:t xml:space="preserve">alusel </w:t>
      </w:r>
      <w:r w:rsidRPr="5272CDCF">
        <w:t>tekkiv karistusõiguslik vastutus sõltub endiselt määratlemata õigusmõistetest, sh</w:t>
      </w:r>
      <w:r w:rsidR="002C5E59" w:rsidRPr="00A45C9F">
        <w:rPr>
          <w:szCs w:val="24"/>
        </w:rPr>
        <w:t xml:space="preserve"> </w:t>
      </w:r>
      <w:r w:rsidRPr="5272CDCF">
        <w:t xml:space="preserve">„oluline majanduslik huvi“ või „oluline muu huvi“, mis </w:t>
      </w:r>
      <w:r w:rsidR="002C5E59" w:rsidRPr="00A45C9F">
        <w:rPr>
          <w:szCs w:val="24"/>
        </w:rPr>
        <w:t>„</w:t>
      </w:r>
      <w:r w:rsidRPr="5272CDCF">
        <w:t>võib mõjutada“ toimingu või otsuse tegemist</w:t>
      </w:r>
      <w:r w:rsidR="002C5E59" w:rsidRPr="00A45C9F">
        <w:rPr>
          <w:szCs w:val="24"/>
        </w:rPr>
        <w:t xml:space="preserve">. </w:t>
      </w:r>
      <w:r w:rsidR="008C1B5F" w:rsidRPr="5272CDCF">
        <w:t>Asjaolu, et eelnõuga täpsustatakse, et ametnikku puudutav huvi peab olema „oluline“</w:t>
      </w:r>
      <w:r w:rsidR="00F957E5">
        <w:t>,</w:t>
      </w:r>
      <w:r w:rsidR="008C1B5F" w:rsidRPr="5272CDCF">
        <w:t xml:space="preserve"> on kohtupraktikas juba niikuinii selgeks tehtud. </w:t>
      </w:r>
      <w:r w:rsidR="00520884" w:rsidRPr="5272CDCF">
        <w:t xml:space="preserve">Väljendi „muu huvi“ </w:t>
      </w:r>
      <w:r w:rsidR="008C1B5F" w:rsidRPr="5272CDCF">
        <w:t xml:space="preserve">rakendamine </w:t>
      </w:r>
      <w:r w:rsidR="00520884" w:rsidRPr="5272CDCF">
        <w:t>ei ole eelnõu koostajate sõnutsi tekitanud praktikas suuri küsimusi ning see annab seaduse tõlgendamisel võimaluse mitte lähtuda üksnes majanduslikust aspektist vaid tegelikust olukorrast.</w:t>
      </w:r>
      <w:r w:rsidR="002C5E59" w:rsidRPr="5272CDCF">
        <w:rPr>
          <w:rStyle w:val="FootnoteReference"/>
        </w:rPr>
        <w:footnoteReference w:id="20"/>
      </w:r>
      <w:r w:rsidR="00520884" w:rsidRPr="00A45C9F">
        <w:rPr>
          <w:szCs w:val="24"/>
        </w:rPr>
        <w:t xml:space="preserve"> </w:t>
      </w:r>
      <w:r w:rsidR="002C5E59" w:rsidRPr="5272CDCF">
        <w:t>Sellise seisukohaga on raske nõustuda. Pigem jäetakse sellise sõnastusega toimingupiirangu kohaldamise piirid täielikult esmalt menetlejate ja hiljem kohtute kätte.</w:t>
      </w:r>
      <w:r w:rsidR="001A2C95" w:rsidRPr="5272CDCF">
        <w:t xml:space="preserve"> </w:t>
      </w:r>
      <w:r w:rsidR="002744CF">
        <w:t>Eelnõu</w:t>
      </w:r>
      <w:r w:rsidR="00B846A5">
        <w:t xml:space="preserve"> jõustumisel on suure tõenäosusega ette näha veel vaidlusi, kus läbi mitme kohtuastme otsitakse õigusselgust ning ollakse sunnitud ootama Riigikohtu praktikat,</w:t>
      </w:r>
      <w:r w:rsidR="005F4486">
        <w:t xml:space="preserve"> et </w:t>
      </w:r>
      <w:r w:rsidR="2ED81D25">
        <w:t>mõista</w:t>
      </w:r>
      <w:r w:rsidR="005F4486">
        <w:t>, kuidas toimingupiirangut kohaldada, sh „muud huvi“ sisustada.</w:t>
      </w:r>
      <w:r w:rsidR="00B846A5">
        <w:t xml:space="preserve"> </w:t>
      </w:r>
      <w:r w:rsidR="005F4486">
        <w:t>See</w:t>
      </w:r>
      <w:r w:rsidR="00B846A5">
        <w:t xml:space="preserve"> kulutab olulisel määral riigi</w:t>
      </w:r>
      <w:r w:rsidR="006926AE">
        <w:t xml:space="preserve">, </w:t>
      </w:r>
      <w:r w:rsidR="00B846A5">
        <w:t xml:space="preserve">kohtute </w:t>
      </w:r>
      <w:r w:rsidR="006926AE">
        <w:t xml:space="preserve">ja puudutatud osapoolte </w:t>
      </w:r>
      <w:r w:rsidR="004F1568">
        <w:t xml:space="preserve">ressursse </w:t>
      </w:r>
      <w:r w:rsidR="00B846A5">
        <w:t>ning venitab õigusselgusetu olukorra kestust, tekitades jätkuvat ebakindlust.</w:t>
      </w:r>
    </w:p>
    <w:p w14:paraId="03FED7D1" w14:textId="77777777" w:rsidR="004426A4" w:rsidRPr="00A45C9F" w:rsidRDefault="004426A4" w:rsidP="001A2C95">
      <w:pPr>
        <w:jc w:val="both"/>
        <w:rPr>
          <w:szCs w:val="24"/>
        </w:rPr>
      </w:pPr>
    </w:p>
    <w:p w14:paraId="6BBEE522" w14:textId="3245F74F" w:rsidR="00311561" w:rsidRPr="00A45C9F" w:rsidRDefault="00311561" w:rsidP="001A2C95">
      <w:pPr>
        <w:jc w:val="both"/>
        <w:rPr>
          <w:szCs w:val="24"/>
        </w:rPr>
      </w:pPr>
      <w:r w:rsidRPr="00A45C9F">
        <w:rPr>
          <w:szCs w:val="24"/>
        </w:rPr>
        <w:t xml:space="preserve">Seega on kavandatavad muudatused ebapiisavad, et kõrvaldada õiguslikku määramatust ja menetleja suva koosseisude rakendamisel. </w:t>
      </w:r>
      <w:r w:rsidR="00820B61" w:rsidRPr="00A45C9F">
        <w:rPr>
          <w:szCs w:val="24"/>
        </w:rPr>
        <w:t>Mida intensiivsemalt võimaldavad normid põhiõigusi riivata, seda selgemad nad olema peavad.</w:t>
      </w:r>
      <w:r w:rsidR="00820B61" w:rsidRPr="00A45C9F">
        <w:rPr>
          <w:szCs w:val="24"/>
          <w:vertAlign w:val="superscript"/>
        </w:rPr>
        <w:footnoteReference w:id="21"/>
      </w:r>
      <w:r w:rsidR="00820B61" w:rsidRPr="00A45C9F">
        <w:rPr>
          <w:szCs w:val="24"/>
        </w:rPr>
        <w:t xml:space="preserve"> </w:t>
      </w:r>
      <w:r w:rsidR="004426A4" w:rsidRPr="00A45C9F">
        <w:rPr>
          <w:szCs w:val="24"/>
        </w:rPr>
        <w:t>Hirm kuriteokoosseisu laia kohaldamisala suhtes loob amet</w:t>
      </w:r>
      <w:r w:rsidR="007070AB">
        <w:rPr>
          <w:szCs w:val="24"/>
        </w:rPr>
        <w:t>i</w:t>
      </w:r>
      <w:r w:rsidR="004426A4" w:rsidRPr="00A45C9F">
        <w:rPr>
          <w:szCs w:val="24"/>
        </w:rPr>
        <w:t>isikutes ebakindlust ning seeläbi kahjustab avaliku võimu toimi</w:t>
      </w:r>
      <w:r w:rsidR="00820B61" w:rsidRPr="00A45C9F">
        <w:rPr>
          <w:szCs w:val="24"/>
        </w:rPr>
        <w:t>mi</w:t>
      </w:r>
      <w:r w:rsidR="004426A4" w:rsidRPr="00A45C9F">
        <w:rPr>
          <w:szCs w:val="24"/>
        </w:rPr>
        <w:t>st. Juba ainuüksi süüteokahtluse saamine võib ametiisiku karjääri lõpetada.</w:t>
      </w:r>
      <w:r w:rsidR="008F2E3F" w:rsidRPr="00A45C9F">
        <w:rPr>
          <w:rStyle w:val="FootnoteReference"/>
          <w:szCs w:val="24"/>
        </w:rPr>
        <w:footnoteReference w:id="22"/>
      </w:r>
      <w:r w:rsidR="004426A4" w:rsidRPr="00A45C9F">
        <w:rPr>
          <w:szCs w:val="24"/>
        </w:rPr>
        <w:t xml:space="preserve"> </w:t>
      </w:r>
    </w:p>
    <w:p w14:paraId="44C94317" w14:textId="77777777" w:rsidR="00820B61" w:rsidRPr="00A45C9F" w:rsidRDefault="00820B61" w:rsidP="001A2C95">
      <w:pPr>
        <w:jc w:val="both"/>
        <w:rPr>
          <w:szCs w:val="24"/>
        </w:rPr>
      </w:pPr>
    </w:p>
    <w:p w14:paraId="249C7C3E" w14:textId="77777777" w:rsidR="00DD2E40" w:rsidRDefault="00820B61" w:rsidP="00AD7CD9">
      <w:pPr>
        <w:jc w:val="both"/>
      </w:pPr>
      <w:r>
        <w:t xml:space="preserve">Advokaadi puhul </w:t>
      </w:r>
      <w:r w:rsidR="40E51691">
        <w:t>tähendab</w:t>
      </w:r>
      <w:r>
        <w:t xml:space="preserve"> </w:t>
      </w:r>
      <w:r w:rsidR="40E51691">
        <w:t>s</w:t>
      </w:r>
      <w:r>
        <w:t>üüdimõist</w:t>
      </w:r>
      <w:r w:rsidR="40E51691">
        <w:t>ev</w:t>
      </w:r>
      <w:r>
        <w:t xml:space="preserve"> otsus</w:t>
      </w:r>
      <w:r w:rsidR="01F4E33A">
        <w:t xml:space="preserve"> õiguse kaotamist </w:t>
      </w:r>
      <w:r>
        <w:t xml:space="preserve">olla advokaat ja vastavat elukutset omada. Karistusõiguses ei tohiks olla kohta karistustel, mis tuginevad ebaselgel ja mitmeti mõistetaval regulatsioonil. </w:t>
      </w:r>
    </w:p>
    <w:p w14:paraId="192125CC" w14:textId="068E854D" w:rsidR="004415ED" w:rsidRDefault="00820B61" w:rsidP="00AD7CD9">
      <w:pPr>
        <w:jc w:val="both"/>
        <w:rPr>
          <w:szCs w:val="24"/>
        </w:rPr>
      </w:pPr>
      <w:r>
        <w:t xml:space="preserve"> </w:t>
      </w:r>
    </w:p>
    <w:p w14:paraId="64AF41F6" w14:textId="31EFA5F2" w:rsidR="00F22609" w:rsidRPr="004415ED" w:rsidRDefault="00F22609" w:rsidP="004415ED">
      <w:pPr>
        <w:pStyle w:val="ListParagraph"/>
        <w:numPr>
          <w:ilvl w:val="0"/>
          <w:numId w:val="2"/>
        </w:numPr>
        <w:jc w:val="both"/>
        <w:rPr>
          <w:color w:val="4F81BD" w:themeColor="accent1"/>
          <w:szCs w:val="24"/>
        </w:rPr>
      </w:pPr>
      <w:r w:rsidRPr="004415ED">
        <w:rPr>
          <w:color w:val="4F81BD" w:themeColor="accent1"/>
          <w:szCs w:val="24"/>
        </w:rPr>
        <w:t>Erandi kehtestamise vajadus advokaadi poolt õigusabiteenuse osutamisel</w:t>
      </w:r>
    </w:p>
    <w:p w14:paraId="4231613A" w14:textId="2B1396C4" w:rsidR="00F22609" w:rsidRPr="00A45C9F" w:rsidRDefault="00F22609" w:rsidP="00F22609">
      <w:pPr>
        <w:pStyle w:val="ListParagraph"/>
        <w:ind w:left="1440"/>
        <w:rPr>
          <w:szCs w:val="24"/>
        </w:rPr>
      </w:pPr>
    </w:p>
    <w:p w14:paraId="051C91ED" w14:textId="77777777" w:rsidR="00D13913" w:rsidRDefault="00AC233E" w:rsidP="00A45C9F">
      <w:pPr>
        <w:jc w:val="both"/>
        <w:rPr>
          <w:szCs w:val="24"/>
        </w:rPr>
      </w:pPr>
      <w:r w:rsidRPr="00A45C9F">
        <w:rPr>
          <w:szCs w:val="24"/>
        </w:rPr>
        <w:t>Advokatuur on seisukohal, et KVS kohaldamine advokaadile pea</w:t>
      </w:r>
      <w:r w:rsidR="004E507D" w:rsidRPr="00A45C9F">
        <w:rPr>
          <w:szCs w:val="24"/>
        </w:rPr>
        <w:t>b</w:t>
      </w:r>
      <w:r w:rsidRPr="00A45C9F">
        <w:rPr>
          <w:szCs w:val="24"/>
        </w:rPr>
        <w:t xml:space="preserve"> olema piiratud. </w:t>
      </w:r>
      <w:r w:rsidR="00C24871" w:rsidRPr="00A45C9F">
        <w:rPr>
          <w:szCs w:val="24"/>
        </w:rPr>
        <w:t xml:space="preserve">Kavandatava eelnõu punkt 12 loob toimingupiirangu erandi tervishoiutöötajatele. Seletuskirja kohaselt on loodav erand vajalik selleks, et ühe valdkonna spetsialistid saaksid keskenduda oma kutsetegevusele ega peaks muretsema, et panevad selle raames tahtmatult toime korruptsioonialase süüteo. </w:t>
      </w:r>
    </w:p>
    <w:p w14:paraId="38BF7AFD" w14:textId="77777777" w:rsidR="00D13913" w:rsidRDefault="00D13913" w:rsidP="00A45C9F">
      <w:pPr>
        <w:jc w:val="both"/>
        <w:rPr>
          <w:szCs w:val="24"/>
        </w:rPr>
      </w:pPr>
    </w:p>
    <w:p w14:paraId="08A8BD65" w14:textId="05EA0A52" w:rsidR="00CC4E74" w:rsidRPr="00A45C9F" w:rsidRDefault="0047762A" w:rsidP="00A45C9F">
      <w:pPr>
        <w:jc w:val="both"/>
        <w:rPr>
          <w:szCs w:val="24"/>
        </w:rPr>
      </w:pPr>
      <w:r>
        <w:rPr>
          <w:szCs w:val="24"/>
        </w:rPr>
        <w:t>Põhjendatud on luua</w:t>
      </w:r>
      <w:r w:rsidR="00C24871" w:rsidRPr="00A45C9F">
        <w:rPr>
          <w:szCs w:val="24"/>
        </w:rPr>
        <w:t xml:space="preserve"> analoogne erand </w:t>
      </w:r>
      <w:r>
        <w:rPr>
          <w:szCs w:val="24"/>
        </w:rPr>
        <w:t>ka a</w:t>
      </w:r>
      <w:r w:rsidR="00C24871" w:rsidRPr="00A45C9F">
        <w:rPr>
          <w:szCs w:val="24"/>
        </w:rPr>
        <w:t xml:space="preserve">dvokatuuri liikmetele õigusteenuse osutamisel. </w:t>
      </w:r>
      <w:r>
        <w:rPr>
          <w:szCs w:val="24"/>
        </w:rPr>
        <w:t>Teeme ettepaneku lisada</w:t>
      </w:r>
      <w:r w:rsidR="00C24871" w:rsidRPr="00A45C9F">
        <w:rPr>
          <w:szCs w:val="24"/>
        </w:rPr>
        <w:t xml:space="preserve"> KVS § 11 lõikesse 3 järgnev punkt:</w:t>
      </w:r>
    </w:p>
    <w:p w14:paraId="7D3D3205" w14:textId="77777777" w:rsidR="00C24871" w:rsidRPr="00A45C9F" w:rsidRDefault="00C24871" w:rsidP="00BE3945">
      <w:pPr>
        <w:ind w:left="360"/>
        <w:jc w:val="both"/>
        <w:rPr>
          <w:szCs w:val="24"/>
        </w:rPr>
      </w:pPr>
    </w:p>
    <w:p w14:paraId="79A31F52" w14:textId="3811D424" w:rsidR="00C24871" w:rsidRPr="00A45C9F" w:rsidRDefault="00C24871" w:rsidP="00BE3945">
      <w:pPr>
        <w:ind w:left="360"/>
        <w:jc w:val="both"/>
        <w:rPr>
          <w:szCs w:val="24"/>
        </w:rPr>
      </w:pPr>
      <w:r w:rsidRPr="00A45C9F">
        <w:rPr>
          <w:szCs w:val="24"/>
        </w:rPr>
        <w:t>„10) advokatuuriseaduse § 22 lõikes 1 sätestatud isiku poolt õigusteenuse osutamisel.“</w:t>
      </w:r>
    </w:p>
    <w:p w14:paraId="51297228" w14:textId="77777777" w:rsidR="00CC4E74" w:rsidRPr="00A45C9F" w:rsidRDefault="00CC4E74" w:rsidP="00BE3945">
      <w:pPr>
        <w:ind w:left="360"/>
        <w:jc w:val="both"/>
        <w:rPr>
          <w:szCs w:val="24"/>
        </w:rPr>
      </w:pPr>
    </w:p>
    <w:p w14:paraId="61391FB9" w14:textId="0C181E8A" w:rsidR="00C24871" w:rsidRPr="00A45C9F" w:rsidRDefault="00C24871" w:rsidP="00A45C9F">
      <w:pPr>
        <w:jc w:val="both"/>
        <w:rPr>
          <w:szCs w:val="24"/>
        </w:rPr>
      </w:pPr>
      <w:r w:rsidRPr="00A45C9F">
        <w:rPr>
          <w:szCs w:val="24"/>
        </w:rPr>
        <w:t xml:space="preserve">Toimingupiirangu kohaldamise välistamine õigusteenuse osutamisel on </w:t>
      </w:r>
      <w:r w:rsidR="00542246">
        <w:rPr>
          <w:szCs w:val="24"/>
        </w:rPr>
        <w:t>a</w:t>
      </w:r>
      <w:r w:rsidRPr="00A45C9F">
        <w:rPr>
          <w:szCs w:val="24"/>
        </w:rPr>
        <w:t xml:space="preserve">dvokatuuri hinnangul oluline samadel kaalutlustel nagu ministeerium on põhjendanud toimingupiirangu kohaldamise välistamise erandi loomist tervishoiutöötajatele. </w:t>
      </w:r>
      <w:r w:rsidRPr="00A45C9F">
        <w:rPr>
          <w:szCs w:val="24"/>
          <w:u w:val="single"/>
        </w:rPr>
        <w:t xml:space="preserve">Õigusteenuse osutamisel toimingupiirangu erandi loomine on vajalik selleks, et advokaadid ei peaks muretsema, et panevad </w:t>
      </w:r>
      <w:r w:rsidR="00FA16BD" w:rsidRPr="00A45C9F">
        <w:rPr>
          <w:szCs w:val="24"/>
          <w:u w:val="single"/>
        </w:rPr>
        <w:t xml:space="preserve">avalikus sektoris </w:t>
      </w:r>
      <w:r w:rsidRPr="00A45C9F">
        <w:rPr>
          <w:szCs w:val="24"/>
          <w:u w:val="single"/>
        </w:rPr>
        <w:t>õigusteenuse osutamisel tahtmatult toime korruptsioonialase süüteo</w:t>
      </w:r>
      <w:r w:rsidRPr="00A45C9F">
        <w:rPr>
          <w:szCs w:val="24"/>
        </w:rPr>
        <w:t xml:space="preserve">. </w:t>
      </w:r>
    </w:p>
    <w:p w14:paraId="5A6BDDEA" w14:textId="77777777" w:rsidR="00FA16BD" w:rsidRPr="00A45C9F" w:rsidRDefault="00FA16BD" w:rsidP="00BE3945">
      <w:pPr>
        <w:ind w:left="360"/>
        <w:jc w:val="both"/>
        <w:rPr>
          <w:szCs w:val="24"/>
        </w:rPr>
      </w:pPr>
    </w:p>
    <w:p w14:paraId="636698C7" w14:textId="1D9F6DF7" w:rsidR="00C0480E" w:rsidRPr="00A45C9F" w:rsidRDefault="00D35016" w:rsidP="00A45C9F">
      <w:pPr>
        <w:jc w:val="both"/>
        <w:rPr>
          <w:szCs w:val="24"/>
        </w:rPr>
      </w:pPr>
      <w:r>
        <w:rPr>
          <w:szCs w:val="24"/>
        </w:rPr>
        <w:t>P</w:t>
      </w:r>
      <w:r w:rsidR="00C24871" w:rsidRPr="00A45C9F">
        <w:rPr>
          <w:szCs w:val="24"/>
        </w:rPr>
        <w:t xml:space="preserve">akutud erandi sõnastus piiritleb selgelt ja üheselt  subjektide ringi, kelle puhul on õigusteenuse osutamisel toimingupiirangu kohaldamine välistatud. </w:t>
      </w:r>
      <w:r w:rsidR="00FA16BD" w:rsidRPr="00A45C9F">
        <w:rPr>
          <w:szCs w:val="24"/>
        </w:rPr>
        <w:t xml:space="preserve">Erand rakenduks üksnes advokatuuriseaduse § 22 lõikes 1 sätestatud isikutele, st </w:t>
      </w:r>
      <w:r w:rsidR="00C6682C">
        <w:rPr>
          <w:szCs w:val="24"/>
        </w:rPr>
        <w:t>a</w:t>
      </w:r>
      <w:r w:rsidR="00FA16BD" w:rsidRPr="00A45C9F">
        <w:rPr>
          <w:szCs w:val="24"/>
        </w:rPr>
        <w:t>dvokatuuri liikmetele</w:t>
      </w:r>
      <w:r w:rsidR="00C6682C">
        <w:rPr>
          <w:szCs w:val="24"/>
        </w:rPr>
        <w:t xml:space="preserve"> (vandeadvokaatidele ja vandeadvokaadi abidele)</w:t>
      </w:r>
      <w:r w:rsidR="00FA16BD" w:rsidRPr="00A45C9F">
        <w:rPr>
          <w:szCs w:val="24"/>
        </w:rPr>
        <w:t>.</w:t>
      </w:r>
      <w:r w:rsidR="00C0480E" w:rsidRPr="00A45C9F">
        <w:rPr>
          <w:szCs w:val="24"/>
        </w:rPr>
        <w:t xml:space="preserve"> </w:t>
      </w:r>
      <w:r w:rsidR="00EB07EB">
        <w:rPr>
          <w:szCs w:val="24"/>
        </w:rPr>
        <w:t>Samuti</w:t>
      </w:r>
      <w:r w:rsidR="00FA16BD" w:rsidRPr="00A45C9F">
        <w:rPr>
          <w:szCs w:val="24"/>
        </w:rPr>
        <w:t xml:space="preserve"> piiritleb </w:t>
      </w:r>
      <w:r w:rsidR="00EB07EB">
        <w:rPr>
          <w:szCs w:val="24"/>
        </w:rPr>
        <w:t>see sõnastus</w:t>
      </w:r>
      <w:r w:rsidR="00FA16BD" w:rsidRPr="00A45C9F">
        <w:rPr>
          <w:szCs w:val="24"/>
        </w:rPr>
        <w:t xml:space="preserve"> selgelt </w:t>
      </w:r>
      <w:r w:rsidR="00FA16BD" w:rsidRPr="00A45C9F">
        <w:rPr>
          <w:szCs w:val="24"/>
        </w:rPr>
        <w:lastRenderedPageBreak/>
        <w:t xml:space="preserve">kohaldatava erandi mõjuala. Advokatuuri liikmed on õigusteenuse osutamisel kohustatud järgima </w:t>
      </w:r>
      <w:proofErr w:type="spellStart"/>
      <w:r w:rsidR="00EB07EB">
        <w:rPr>
          <w:szCs w:val="24"/>
        </w:rPr>
        <w:t>AdvS</w:t>
      </w:r>
      <w:proofErr w:type="spellEnd"/>
      <w:r w:rsidR="00EB07EB">
        <w:rPr>
          <w:szCs w:val="24"/>
        </w:rPr>
        <w:t>-s</w:t>
      </w:r>
      <w:r w:rsidR="00EB07EB" w:rsidRPr="00A45C9F">
        <w:rPr>
          <w:szCs w:val="24"/>
        </w:rPr>
        <w:t xml:space="preserve"> </w:t>
      </w:r>
      <w:r w:rsidR="00FA16BD" w:rsidRPr="00A45C9F">
        <w:rPr>
          <w:szCs w:val="24"/>
        </w:rPr>
        <w:t xml:space="preserve">sätestatud kohustusi. </w:t>
      </w:r>
    </w:p>
    <w:p w14:paraId="64D95F6C" w14:textId="77777777" w:rsidR="00C0480E" w:rsidRPr="00A45C9F" w:rsidRDefault="00C0480E" w:rsidP="00C0480E">
      <w:pPr>
        <w:ind w:left="360"/>
        <w:jc w:val="both"/>
        <w:rPr>
          <w:szCs w:val="24"/>
        </w:rPr>
      </w:pPr>
    </w:p>
    <w:p w14:paraId="3568ACBA" w14:textId="235BFE3F" w:rsidR="00C0480E" w:rsidRPr="00A45C9F" w:rsidRDefault="00C0480E" w:rsidP="00A45C9F">
      <w:pPr>
        <w:jc w:val="both"/>
        <w:rPr>
          <w:szCs w:val="24"/>
        </w:rPr>
      </w:pPr>
      <w:r w:rsidRPr="00A45C9F">
        <w:rPr>
          <w:szCs w:val="24"/>
        </w:rPr>
        <w:t xml:space="preserve">Loodava erandi sidumine </w:t>
      </w:r>
      <w:proofErr w:type="spellStart"/>
      <w:r w:rsidR="00EB07EB">
        <w:rPr>
          <w:szCs w:val="24"/>
        </w:rPr>
        <w:t>AdvS-ga</w:t>
      </w:r>
      <w:proofErr w:type="spellEnd"/>
      <w:r w:rsidR="00EB07EB" w:rsidRPr="00A45C9F">
        <w:rPr>
          <w:szCs w:val="24"/>
        </w:rPr>
        <w:t xml:space="preserve"> </w:t>
      </w:r>
      <w:r w:rsidRPr="00A45C9F">
        <w:rPr>
          <w:szCs w:val="24"/>
        </w:rPr>
        <w:t xml:space="preserve">on vajalik, </w:t>
      </w:r>
      <w:r w:rsidR="007B2E67">
        <w:rPr>
          <w:szCs w:val="24"/>
        </w:rPr>
        <w:t xml:space="preserve">et </w:t>
      </w:r>
      <w:r w:rsidRPr="00A45C9F">
        <w:rPr>
          <w:szCs w:val="24"/>
        </w:rPr>
        <w:t xml:space="preserve">erand </w:t>
      </w:r>
      <w:r w:rsidR="007B2E67">
        <w:rPr>
          <w:szCs w:val="24"/>
        </w:rPr>
        <w:t xml:space="preserve">ei muutuks </w:t>
      </w:r>
      <w:r w:rsidRPr="00A45C9F">
        <w:rPr>
          <w:szCs w:val="24"/>
        </w:rPr>
        <w:t>liiga laiaks. Kuivõrd „õigusteenuse“ legaaldefinitsioon</w:t>
      </w:r>
      <w:r w:rsidR="006512BC">
        <w:rPr>
          <w:szCs w:val="24"/>
        </w:rPr>
        <w:t xml:space="preserve"> ei ole piisavalt täpne</w:t>
      </w:r>
      <w:r w:rsidRPr="00A45C9F">
        <w:rPr>
          <w:szCs w:val="24"/>
        </w:rPr>
        <w:t xml:space="preserve">, on oluline loodavat erandit muul moel piiritleda. Õigusteenust võib </w:t>
      </w:r>
      <w:r w:rsidR="008B62AD">
        <w:rPr>
          <w:szCs w:val="24"/>
        </w:rPr>
        <w:t xml:space="preserve">Eestis </w:t>
      </w:r>
      <w:r w:rsidRPr="00A45C9F">
        <w:rPr>
          <w:szCs w:val="24"/>
        </w:rPr>
        <w:t xml:space="preserve">osutada ka isik, kes ei ole </w:t>
      </w:r>
      <w:r w:rsidR="008B62AD">
        <w:rPr>
          <w:szCs w:val="24"/>
        </w:rPr>
        <w:t>a</w:t>
      </w:r>
      <w:r w:rsidRPr="00A45C9F">
        <w:rPr>
          <w:szCs w:val="24"/>
        </w:rPr>
        <w:t xml:space="preserve">dvokatuuri liige. Selliste isikute poolt osutatavale </w:t>
      </w:r>
      <w:r w:rsidR="008B62AD">
        <w:rPr>
          <w:szCs w:val="24"/>
        </w:rPr>
        <w:t>õigus</w:t>
      </w:r>
      <w:r w:rsidRPr="00A45C9F">
        <w:rPr>
          <w:szCs w:val="24"/>
        </w:rPr>
        <w:t xml:space="preserve">teenusele puuduvad seaduses kehtestatud nõuded ning järelevalve. Advokatuuri liikmetel seevastu on aga </w:t>
      </w:r>
      <w:proofErr w:type="spellStart"/>
      <w:r w:rsidR="008B62AD">
        <w:rPr>
          <w:szCs w:val="24"/>
        </w:rPr>
        <w:t>AdvS</w:t>
      </w:r>
      <w:proofErr w:type="spellEnd"/>
      <w:r w:rsidR="008B62AD">
        <w:rPr>
          <w:szCs w:val="24"/>
        </w:rPr>
        <w:t>-</w:t>
      </w:r>
      <w:r w:rsidRPr="00A45C9F">
        <w:rPr>
          <w:szCs w:val="24"/>
        </w:rPr>
        <w:t xml:space="preserve">st tulenevad selged ja ranged kohustused ning </w:t>
      </w:r>
      <w:r w:rsidR="000253B2">
        <w:rPr>
          <w:szCs w:val="24"/>
        </w:rPr>
        <w:t xml:space="preserve">laieneb </w:t>
      </w:r>
      <w:r w:rsidRPr="00A45C9F">
        <w:rPr>
          <w:szCs w:val="24"/>
        </w:rPr>
        <w:t xml:space="preserve">põhjalik organisatsioonisisene järelevalve. Ilma erandit </w:t>
      </w:r>
      <w:proofErr w:type="spellStart"/>
      <w:r w:rsidR="008B62AD">
        <w:rPr>
          <w:szCs w:val="24"/>
        </w:rPr>
        <w:t>AdvS-</w:t>
      </w:r>
      <w:r w:rsidR="008B62AD" w:rsidRPr="00A45C9F">
        <w:rPr>
          <w:szCs w:val="24"/>
        </w:rPr>
        <w:t>ga</w:t>
      </w:r>
      <w:proofErr w:type="spellEnd"/>
      <w:r w:rsidR="008B62AD" w:rsidRPr="00A45C9F">
        <w:rPr>
          <w:szCs w:val="24"/>
        </w:rPr>
        <w:t xml:space="preserve"> </w:t>
      </w:r>
      <w:r w:rsidRPr="00A45C9F">
        <w:rPr>
          <w:szCs w:val="24"/>
        </w:rPr>
        <w:t>sidumata võib toimingupiirangu kohaldamise välistamiseks piisata isiku ja ametiasutuse vahelise suhte nimetami</w:t>
      </w:r>
      <w:r w:rsidR="005C0F99">
        <w:rPr>
          <w:szCs w:val="24"/>
        </w:rPr>
        <w:t xml:space="preserve">sest </w:t>
      </w:r>
      <w:r w:rsidRPr="00A45C9F">
        <w:rPr>
          <w:szCs w:val="24"/>
        </w:rPr>
        <w:t xml:space="preserve">„õigusteenuse osutamiseks“. </w:t>
      </w:r>
    </w:p>
    <w:p w14:paraId="731A4882" w14:textId="77777777" w:rsidR="00834CE7" w:rsidRPr="00A45C9F" w:rsidRDefault="00834CE7" w:rsidP="003C36B7">
      <w:pPr>
        <w:jc w:val="both"/>
        <w:rPr>
          <w:szCs w:val="24"/>
        </w:rPr>
      </w:pPr>
    </w:p>
    <w:p w14:paraId="4208AA87" w14:textId="74D6E57A" w:rsidR="00834CE7" w:rsidRPr="00A45C9F" w:rsidRDefault="004D5306" w:rsidP="00A45C9F">
      <w:pPr>
        <w:jc w:val="both"/>
        <w:rPr>
          <w:szCs w:val="24"/>
          <w:u w:val="single"/>
        </w:rPr>
      </w:pPr>
      <w:r>
        <w:rPr>
          <w:szCs w:val="24"/>
        </w:rPr>
        <w:t xml:space="preserve">Ettepaneku kohaselt ei laieneks erand </w:t>
      </w:r>
      <w:r w:rsidR="00180CD9">
        <w:rPr>
          <w:szCs w:val="24"/>
        </w:rPr>
        <w:t>juhtumitele</w:t>
      </w:r>
      <w:r w:rsidR="00F65EF1" w:rsidRPr="00A45C9F">
        <w:rPr>
          <w:szCs w:val="24"/>
        </w:rPr>
        <w:t>, k</w:t>
      </w:r>
      <w:r w:rsidR="00180CD9">
        <w:rPr>
          <w:szCs w:val="24"/>
        </w:rPr>
        <w:t>u</w:t>
      </w:r>
      <w:r w:rsidR="00F65EF1" w:rsidRPr="00A45C9F">
        <w:rPr>
          <w:szCs w:val="24"/>
        </w:rPr>
        <w:t>s</w:t>
      </w:r>
      <w:r w:rsidR="00180CD9">
        <w:rPr>
          <w:szCs w:val="24"/>
        </w:rPr>
        <w:t xml:space="preserve"> advokaadid</w:t>
      </w:r>
      <w:r w:rsidR="00F65EF1" w:rsidRPr="00A45C9F">
        <w:rPr>
          <w:szCs w:val="24"/>
        </w:rPr>
        <w:t xml:space="preserve"> </w:t>
      </w:r>
      <w:r w:rsidR="00180CD9">
        <w:rPr>
          <w:szCs w:val="24"/>
        </w:rPr>
        <w:t>tegelevad</w:t>
      </w:r>
      <w:r w:rsidR="00180CD9" w:rsidRPr="00A45C9F">
        <w:rPr>
          <w:szCs w:val="24"/>
        </w:rPr>
        <w:t xml:space="preserve"> </w:t>
      </w:r>
      <w:r w:rsidR="00F65EF1" w:rsidRPr="00A45C9F">
        <w:rPr>
          <w:szCs w:val="24"/>
        </w:rPr>
        <w:t xml:space="preserve">õigusteenuse </w:t>
      </w:r>
      <w:r w:rsidR="00180CD9">
        <w:rPr>
          <w:szCs w:val="24"/>
        </w:rPr>
        <w:t xml:space="preserve">osutamise </w:t>
      </w:r>
      <w:r w:rsidR="00F65EF1" w:rsidRPr="00A45C9F">
        <w:rPr>
          <w:szCs w:val="24"/>
        </w:rPr>
        <w:t>kõrval ka muu nõustamis</w:t>
      </w:r>
      <w:r w:rsidR="00180CD9">
        <w:rPr>
          <w:szCs w:val="24"/>
        </w:rPr>
        <w:t>ega</w:t>
      </w:r>
      <w:r w:rsidR="00F65EF1" w:rsidRPr="00A45C9F">
        <w:rPr>
          <w:szCs w:val="24"/>
        </w:rPr>
        <w:t xml:space="preserve"> või asuvad selle kõrval rolli</w:t>
      </w:r>
      <w:r w:rsidR="00180CD9">
        <w:rPr>
          <w:szCs w:val="24"/>
        </w:rPr>
        <w:t xml:space="preserve">, mis ei ole käsitatav </w:t>
      </w:r>
      <w:r w:rsidR="00A05A33">
        <w:rPr>
          <w:szCs w:val="24"/>
        </w:rPr>
        <w:t>õigusteenuse</w:t>
      </w:r>
      <w:r w:rsidR="00180CD9">
        <w:rPr>
          <w:szCs w:val="24"/>
        </w:rPr>
        <w:t xml:space="preserve"> osutamisena </w:t>
      </w:r>
      <w:proofErr w:type="spellStart"/>
      <w:r w:rsidR="008B62AD">
        <w:rPr>
          <w:szCs w:val="24"/>
        </w:rPr>
        <w:t>AdvS</w:t>
      </w:r>
      <w:proofErr w:type="spellEnd"/>
      <w:r w:rsidR="008B62AD" w:rsidRPr="00A45C9F">
        <w:rPr>
          <w:szCs w:val="24"/>
        </w:rPr>
        <w:t xml:space="preserve"> </w:t>
      </w:r>
      <w:r w:rsidR="00F65EF1" w:rsidRPr="00A45C9F">
        <w:rPr>
          <w:szCs w:val="24"/>
        </w:rPr>
        <w:t xml:space="preserve">tähenduses. Näiteks ei </w:t>
      </w:r>
      <w:r w:rsidR="00A45C9F" w:rsidRPr="00A45C9F">
        <w:rPr>
          <w:szCs w:val="24"/>
        </w:rPr>
        <w:t xml:space="preserve">välistaks </w:t>
      </w:r>
      <w:r w:rsidR="00F65EF1" w:rsidRPr="00A45C9F">
        <w:rPr>
          <w:szCs w:val="24"/>
        </w:rPr>
        <w:t xml:space="preserve">väljapakutud erand </w:t>
      </w:r>
      <w:r w:rsidR="00660F73">
        <w:rPr>
          <w:szCs w:val="24"/>
        </w:rPr>
        <w:t xml:space="preserve">advokaadi </w:t>
      </w:r>
      <w:r w:rsidR="00A45C9F" w:rsidRPr="00A45C9F">
        <w:rPr>
          <w:szCs w:val="24"/>
        </w:rPr>
        <w:t>vastutust</w:t>
      </w:r>
      <w:r w:rsidR="00F65EF1" w:rsidRPr="00A45C9F">
        <w:rPr>
          <w:szCs w:val="24"/>
        </w:rPr>
        <w:t xml:space="preserve"> </w:t>
      </w:r>
      <w:r w:rsidR="00660F73">
        <w:rPr>
          <w:szCs w:val="24"/>
        </w:rPr>
        <w:t xml:space="preserve">teatud </w:t>
      </w:r>
      <w:r w:rsidR="00F65EF1" w:rsidRPr="00A45C9F">
        <w:rPr>
          <w:szCs w:val="24"/>
        </w:rPr>
        <w:t>faktilistel asjaoludel</w:t>
      </w:r>
      <w:r w:rsidR="00660F73">
        <w:rPr>
          <w:szCs w:val="24"/>
        </w:rPr>
        <w:t xml:space="preserve"> olukorras</w:t>
      </w:r>
      <w:r w:rsidR="00F65EF1" w:rsidRPr="00A45C9F">
        <w:rPr>
          <w:szCs w:val="24"/>
        </w:rPr>
        <w:t>, kus advokaat asus sisuliselt täitma ministri nõuniku ülesandeid</w:t>
      </w:r>
      <w:r w:rsidR="00A45C9F" w:rsidRPr="00A45C9F">
        <w:rPr>
          <w:szCs w:val="24"/>
        </w:rPr>
        <w:t xml:space="preserve"> ehk ei osutanud õigusteenust</w:t>
      </w:r>
      <w:r w:rsidR="003C36B7">
        <w:rPr>
          <w:szCs w:val="24"/>
        </w:rPr>
        <w:t>.</w:t>
      </w:r>
      <w:r w:rsidR="00F65EF1" w:rsidRPr="00A45C9F">
        <w:rPr>
          <w:rStyle w:val="FootnoteReference"/>
          <w:szCs w:val="24"/>
        </w:rPr>
        <w:footnoteReference w:id="23"/>
      </w:r>
      <w:r w:rsidR="00834CE7" w:rsidRPr="00A45C9F">
        <w:rPr>
          <w:szCs w:val="24"/>
        </w:rPr>
        <w:t xml:space="preserve"> </w:t>
      </w:r>
      <w:r w:rsidR="00B52D1B" w:rsidRPr="00A45C9F">
        <w:rPr>
          <w:szCs w:val="24"/>
        </w:rPr>
        <w:t xml:space="preserve">Erand </w:t>
      </w:r>
      <w:r w:rsidR="00FC0EDE" w:rsidRPr="00A45C9F">
        <w:rPr>
          <w:szCs w:val="24"/>
        </w:rPr>
        <w:t xml:space="preserve">on kooskõlas ka Riigikohtu seisukohaga, </w:t>
      </w:r>
      <w:r w:rsidR="00D72BBF">
        <w:rPr>
          <w:szCs w:val="24"/>
        </w:rPr>
        <w:t xml:space="preserve">mille kohaselt </w:t>
      </w:r>
      <w:proofErr w:type="spellStart"/>
      <w:r w:rsidR="00FC0EDE" w:rsidRPr="00A45C9F">
        <w:rPr>
          <w:szCs w:val="24"/>
        </w:rPr>
        <w:t>AdvS</w:t>
      </w:r>
      <w:proofErr w:type="spellEnd"/>
      <w:r w:rsidR="00FC0EDE" w:rsidRPr="00A45C9F">
        <w:rPr>
          <w:szCs w:val="24"/>
        </w:rPr>
        <w:t xml:space="preserve"> § 43 </w:t>
      </w:r>
      <w:proofErr w:type="spellStart"/>
      <w:r w:rsidR="00FC0EDE" w:rsidRPr="00A45C9F">
        <w:rPr>
          <w:szCs w:val="24"/>
        </w:rPr>
        <w:t>lg-s</w:t>
      </w:r>
      <w:proofErr w:type="spellEnd"/>
      <w:r w:rsidR="00FC0EDE" w:rsidRPr="00A45C9F">
        <w:rPr>
          <w:szCs w:val="24"/>
        </w:rPr>
        <w:t xml:space="preserve"> 4 sätestatud keeld samastada advokaati tema ülesannete täitmise tõttu kliendiga ja kliendi kohtuasjaga ei kohaldu juhul, </w:t>
      </w:r>
      <w:r w:rsidR="00FC0EDE" w:rsidRPr="00A45C9F">
        <w:rPr>
          <w:szCs w:val="24"/>
          <w:u w:val="single"/>
        </w:rPr>
        <w:t>kui advokaat on astunud enda esindatava rolli ni</w:t>
      </w:r>
      <w:r w:rsidR="007B40BB" w:rsidRPr="00A45C9F">
        <w:rPr>
          <w:szCs w:val="24"/>
          <w:u w:val="single"/>
        </w:rPr>
        <w:t>n</w:t>
      </w:r>
      <w:r w:rsidR="00FC0EDE" w:rsidRPr="00A45C9F">
        <w:rPr>
          <w:szCs w:val="24"/>
          <w:u w:val="single"/>
        </w:rPr>
        <w:t>g täida</w:t>
      </w:r>
      <w:r w:rsidR="007B40BB" w:rsidRPr="00A45C9F">
        <w:rPr>
          <w:szCs w:val="24"/>
          <w:u w:val="single"/>
        </w:rPr>
        <w:t>b</w:t>
      </w:r>
      <w:r w:rsidR="00FC0EDE" w:rsidRPr="00A45C9F">
        <w:rPr>
          <w:szCs w:val="24"/>
          <w:u w:val="single"/>
        </w:rPr>
        <w:t xml:space="preserve"> viimase pädevusse kuuluvaid ülesandeid.</w:t>
      </w:r>
      <w:r w:rsidR="00FC0EDE" w:rsidRPr="00A45C9F">
        <w:rPr>
          <w:rStyle w:val="FootnoteReference"/>
          <w:szCs w:val="24"/>
          <w:u w:val="single"/>
        </w:rPr>
        <w:footnoteReference w:id="24"/>
      </w:r>
    </w:p>
    <w:p w14:paraId="47892914" w14:textId="77777777" w:rsidR="00C0480E" w:rsidRPr="00A45C9F" w:rsidRDefault="00C0480E" w:rsidP="00BE3945">
      <w:pPr>
        <w:ind w:left="360"/>
        <w:jc w:val="both"/>
        <w:rPr>
          <w:szCs w:val="24"/>
        </w:rPr>
      </w:pPr>
    </w:p>
    <w:p w14:paraId="2868EA44" w14:textId="28CAAA1A" w:rsidR="00C24871" w:rsidRPr="00A45C9F" w:rsidRDefault="00FC0EDE" w:rsidP="00A45C9F">
      <w:pPr>
        <w:jc w:val="both"/>
        <w:rPr>
          <w:szCs w:val="24"/>
        </w:rPr>
      </w:pPr>
      <w:r w:rsidRPr="00A45C9F">
        <w:rPr>
          <w:szCs w:val="24"/>
        </w:rPr>
        <w:t xml:space="preserve">Eeltoodust tulenevalt </w:t>
      </w:r>
      <w:r w:rsidR="00B30652">
        <w:rPr>
          <w:szCs w:val="24"/>
        </w:rPr>
        <w:t>leiame</w:t>
      </w:r>
      <w:r w:rsidRPr="00A45C9F">
        <w:rPr>
          <w:szCs w:val="24"/>
        </w:rPr>
        <w:t>, et väljapakutud erand toimingupiirangu kohaldamiseks on vajalik</w:t>
      </w:r>
      <w:r w:rsidR="00545B2D">
        <w:rPr>
          <w:szCs w:val="24"/>
        </w:rPr>
        <w:t>.</w:t>
      </w:r>
      <w:r w:rsidRPr="00A45C9F">
        <w:rPr>
          <w:szCs w:val="24"/>
        </w:rPr>
        <w:t xml:space="preserve"> </w:t>
      </w:r>
    </w:p>
    <w:p w14:paraId="2AE0A6B4" w14:textId="77777777" w:rsidR="00C24871" w:rsidRPr="00A45C9F" w:rsidRDefault="00C24871" w:rsidP="00A45C9F">
      <w:pPr>
        <w:jc w:val="both"/>
        <w:rPr>
          <w:szCs w:val="24"/>
        </w:rPr>
      </w:pPr>
    </w:p>
    <w:p w14:paraId="036387E2" w14:textId="3505B6A9" w:rsidR="00B256BF" w:rsidRPr="00A45C9F" w:rsidRDefault="006C4C97" w:rsidP="009B1A4B">
      <w:pPr>
        <w:jc w:val="both"/>
        <w:rPr>
          <w:szCs w:val="24"/>
        </w:rPr>
      </w:pPr>
      <w:r>
        <w:rPr>
          <w:szCs w:val="24"/>
        </w:rPr>
        <w:t>E</w:t>
      </w:r>
      <w:r w:rsidR="00E61712">
        <w:rPr>
          <w:szCs w:val="24"/>
        </w:rPr>
        <w:t>randi sätestamise korral</w:t>
      </w:r>
      <w:r w:rsidR="00AC233E" w:rsidRPr="00A45C9F">
        <w:rPr>
          <w:szCs w:val="24"/>
        </w:rPr>
        <w:t xml:space="preserve"> oleks KVS rakendamine </w:t>
      </w:r>
      <w:r w:rsidR="00FC0EDE" w:rsidRPr="00A45C9F">
        <w:rPr>
          <w:szCs w:val="24"/>
        </w:rPr>
        <w:t>eeltoodud tingimustel</w:t>
      </w:r>
      <w:r w:rsidR="007B40BB" w:rsidRPr="00A45C9F">
        <w:rPr>
          <w:szCs w:val="24"/>
        </w:rPr>
        <w:t xml:space="preserve"> </w:t>
      </w:r>
      <w:r w:rsidR="00AC233E" w:rsidRPr="00A45C9F">
        <w:rPr>
          <w:szCs w:val="24"/>
        </w:rPr>
        <w:t xml:space="preserve">välistatud õigusteenuse osutamisel ning </w:t>
      </w:r>
      <w:r w:rsidR="00A45C9F" w:rsidRPr="00A45C9F">
        <w:rPr>
          <w:szCs w:val="24"/>
        </w:rPr>
        <w:t xml:space="preserve">nt </w:t>
      </w:r>
      <w:r w:rsidR="00AC233E" w:rsidRPr="00A45C9F">
        <w:rPr>
          <w:szCs w:val="24"/>
        </w:rPr>
        <w:t xml:space="preserve">huvide konflikti olukorras rakenduks </w:t>
      </w:r>
      <w:proofErr w:type="spellStart"/>
      <w:r w:rsidR="00E61712">
        <w:rPr>
          <w:szCs w:val="24"/>
        </w:rPr>
        <w:t>AdvS</w:t>
      </w:r>
      <w:proofErr w:type="spellEnd"/>
      <w:r w:rsidR="00E61712" w:rsidRPr="00A45C9F">
        <w:rPr>
          <w:szCs w:val="24"/>
        </w:rPr>
        <w:t xml:space="preserve"> </w:t>
      </w:r>
      <w:r w:rsidR="00AC233E" w:rsidRPr="00A45C9F">
        <w:rPr>
          <w:szCs w:val="24"/>
        </w:rPr>
        <w:t>(§ 44 lg 4) ja eetikakoodeks (</w:t>
      </w:r>
      <w:r w:rsidR="00C314A4">
        <w:rPr>
          <w:szCs w:val="24"/>
        </w:rPr>
        <w:t>§</w:t>
      </w:r>
      <w:r w:rsidR="00AC233E" w:rsidRPr="00A45C9F">
        <w:rPr>
          <w:szCs w:val="24"/>
        </w:rPr>
        <w:t xml:space="preserve"> 13). </w:t>
      </w:r>
      <w:r w:rsidR="00BE3945" w:rsidRPr="00A45C9F">
        <w:rPr>
          <w:szCs w:val="24"/>
        </w:rPr>
        <w:t xml:space="preserve"> </w:t>
      </w:r>
      <w:r w:rsidR="00AC233E" w:rsidRPr="00A45C9F">
        <w:rPr>
          <w:szCs w:val="24"/>
        </w:rPr>
        <w:t>Siinkohal on oluline, et</w:t>
      </w:r>
      <w:r w:rsidR="005E7257" w:rsidRPr="00A45C9F">
        <w:rPr>
          <w:szCs w:val="24"/>
        </w:rPr>
        <w:t xml:space="preserve"> eelviidatu</w:t>
      </w:r>
      <w:r w:rsidR="004E507D" w:rsidRPr="00A45C9F">
        <w:rPr>
          <w:szCs w:val="24"/>
        </w:rPr>
        <w:t>d</w:t>
      </w:r>
      <w:r w:rsidR="005E7257" w:rsidRPr="00A45C9F">
        <w:rPr>
          <w:szCs w:val="24"/>
        </w:rPr>
        <w:t xml:space="preserve"> sätete täpsema sõnastuse ning</w:t>
      </w:r>
      <w:r w:rsidR="00AC233E" w:rsidRPr="00A45C9F">
        <w:rPr>
          <w:szCs w:val="24"/>
        </w:rPr>
        <w:t xml:space="preserve"> </w:t>
      </w:r>
      <w:r w:rsidR="00D634C5">
        <w:rPr>
          <w:szCs w:val="24"/>
        </w:rPr>
        <w:t>a</w:t>
      </w:r>
      <w:r w:rsidR="00AC233E" w:rsidRPr="00A45C9F">
        <w:rPr>
          <w:szCs w:val="24"/>
        </w:rPr>
        <w:t>dvokatuuri aukohtu</w:t>
      </w:r>
      <w:r w:rsidR="005E7257" w:rsidRPr="00A45C9F">
        <w:rPr>
          <w:szCs w:val="24"/>
        </w:rPr>
        <w:t xml:space="preserve"> pikaajalise</w:t>
      </w:r>
      <w:r w:rsidR="00AC233E" w:rsidRPr="00A45C9F">
        <w:rPr>
          <w:szCs w:val="24"/>
        </w:rPr>
        <w:t xml:space="preserve"> praktika </w:t>
      </w:r>
      <w:r w:rsidR="005E7257" w:rsidRPr="00A45C9F">
        <w:rPr>
          <w:szCs w:val="24"/>
        </w:rPr>
        <w:t xml:space="preserve">pinnalt on tekkinud õigusteenuse osutajate jaoks selgem arusaam ja </w:t>
      </w:r>
      <w:proofErr w:type="spellStart"/>
      <w:r w:rsidR="005E7257" w:rsidRPr="00A45C9F">
        <w:rPr>
          <w:szCs w:val="24"/>
        </w:rPr>
        <w:t>prognoositavus</w:t>
      </w:r>
      <w:proofErr w:type="spellEnd"/>
      <w:r w:rsidR="005E7257" w:rsidRPr="00A45C9F">
        <w:rPr>
          <w:szCs w:val="24"/>
        </w:rPr>
        <w:t>, millal üks või teine toiming tähendab huvide konflikti.</w:t>
      </w:r>
      <w:r w:rsidR="00B256BF" w:rsidRPr="00A45C9F">
        <w:rPr>
          <w:szCs w:val="24"/>
        </w:rPr>
        <w:t xml:space="preserve"> </w:t>
      </w:r>
    </w:p>
    <w:p w14:paraId="60A4F02F" w14:textId="1F308B32" w:rsidR="00CC43F5" w:rsidRDefault="00CC43F5" w:rsidP="003403F2">
      <w:pPr>
        <w:widowControl/>
        <w:suppressAutoHyphens w:val="0"/>
        <w:spacing w:after="200"/>
        <w:jc w:val="both"/>
        <w:rPr>
          <w:szCs w:val="24"/>
        </w:rPr>
      </w:pPr>
    </w:p>
    <w:p w14:paraId="413BB00A" w14:textId="303300E0" w:rsidR="00C3746D" w:rsidRDefault="006341B7" w:rsidP="003403F2">
      <w:pPr>
        <w:widowControl/>
        <w:suppressAutoHyphens w:val="0"/>
        <w:spacing w:after="200"/>
        <w:jc w:val="both"/>
      </w:pPr>
      <w:r>
        <w:t>Kokkuvõttes on a</w:t>
      </w:r>
      <w:r w:rsidR="00AD7EB6">
        <w:t xml:space="preserve">dvokatuur </w:t>
      </w:r>
      <w:r>
        <w:t>seisukohal, et</w:t>
      </w:r>
      <w:r w:rsidR="00AD7EB6">
        <w:t xml:space="preserve"> nii kehtiva seaduse kui ka kavandatava eelnõu keskseks puuduseks </w:t>
      </w:r>
      <w:r w:rsidR="0030240D">
        <w:t xml:space="preserve">on </w:t>
      </w:r>
      <w:r w:rsidR="00AD7EB6">
        <w:t>ebaselgus</w:t>
      </w:r>
      <w:r>
        <w:t>.</w:t>
      </w:r>
      <w:r w:rsidR="00AD7EB6">
        <w:t xml:space="preserve"> Selgete piirideta regulatsioon jätab advokaadid ja avaliku sektori asutused õiguslikku määramatusse, kus ametiisiku staatuse tekkimine ja toimingupiirangu kohaldamine sõltub ettenähtava seaduse asemel menetlejate ja kohtute tagantjärele antavast subjektiivsest tõlgendusest. Selline ebaselgus toob paratamatult kaasa ressursimahukad ja kurnavad õigusvaidlused ning vähendab advokaadibüroode riskiisu avalikule sektorile teenust osutada. Seetõttu on hädavajalik kehtestada advokaatidele õigusteenuse osutamisel selge erand, mis tagaks õigussuhete </w:t>
      </w:r>
      <w:proofErr w:type="spellStart"/>
      <w:r w:rsidR="00AD7EB6">
        <w:t>prognoositavuse</w:t>
      </w:r>
      <w:proofErr w:type="spellEnd"/>
      <w:r w:rsidR="00AD7EB6">
        <w:t xml:space="preserve"> ja vastavuse määratletuse põhimõttele.</w:t>
      </w:r>
    </w:p>
    <w:p w14:paraId="30E59297" w14:textId="77777777" w:rsidR="00C3746D" w:rsidRDefault="00C3746D" w:rsidP="003403F2">
      <w:pPr>
        <w:widowControl/>
        <w:suppressAutoHyphens w:val="0"/>
        <w:spacing w:after="200"/>
        <w:jc w:val="both"/>
        <w:rPr>
          <w:szCs w:val="24"/>
        </w:rPr>
      </w:pPr>
    </w:p>
    <w:p w14:paraId="5FC32D52" w14:textId="77777777" w:rsidR="00C3746D" w:rsidRPr="00332266" w:rsidRDefault="00C3746D" w:rsidP="00C3746D">
      <w:pPr>
        <w:jc w:val="both"/>
        <w:rPr>
          <w:b/>
          <w:bCs/>
          <w:szCs w:val="24"/>
        </w:rPr>
      </w:pPr>
      <w:r w:rsidRPr="00332266">
        <w:rPr>
          <w:szCs w:val="24"/>
        </w:rPr>
        <w:t>Lugupidamisega</w:t>
      </w:r>
    </w:p>
    <w:p w14:paraId="5DAE90A2" w14:textId="77777777" w:rsidR="00C3746D" w:rsidRPr="00332266" w:rsidRDefault="00C3746D" w:rsidP="00C3746D">
      <w:pPr>
        <w:pStyle w:val="Body"/>
        <w:jc w:val="both"/>
        <w:rPr>
          <w:rFonts w:cs="Times New Roman"/>
          <w:i/>
          <w:iCs/>
        </w:rPr>
      </w:pPr>
    </w:p>
    <w:p w14:paraId="0CEF7BA2" w14:textId="77777777" w:rsidR="00C3746D" w:rsidRPr="00332266" w:rsidRDefault="00C3746D" w:rsidP="00C3746D">
      <w:pPr>
        <w:pStyle w:val="Body"/>
        <w:jc w:val="both"/>
        <w:rPr>
          <w:rFonts w:cs="Times New Roman"/>
          <w:i/>
          <w:iCs/>
        </w:rPr>
      </w:pPr>
      <w:r w:rsidRPr="00332266">
        <w:rPr>
          <w:rFonts w:cs="Times New Roman"/>
          <w:i/>
          <w:iCs/>
        </w:rPr>
        <w:t>allkirjastatud digitaalselt</w:t>
      </w:r>
    </w:p>
    <w:p w14:paraId="5A66B517" w14:textId="77777777" w:rsidR="00C3746D" w:rsidRPr="00332266" w:rsidRDefault="00C3746D" w:rsidP="00C3746D">
      <w:pPr>
        <w:pStyle w:val="Body"/>
        <w:jc w:val="both"/>
        <w:rPr>
          <w:rFonts w:cs="Times New Roman"/>
        </w:rPr>
      </w:pPr>
    </w:p>
    <w:p w14:paraId="313E18E2" w14:textId="77777777" w:rsidR="00C3746D" w:rsidRPr="00332266" w:rsidRDefault="00C3746D" w:rsidP="00C3746D">
      <w:pPr>
        <w:pStyle w:val="Body"/>
        <w:jc w:val="both"/>
        <w:rPr>
          <w:rFonts w:cs="Times New Roman"/>
        </w:rPr>
      </w:pPr>
      <w:r w:rsidRPr="00332266">
        <w:rPr>
          <w:rFonts w:cs="Times New Roman"/>
        </w:rPr>
        <w:t>Imbi Jürgen</w:t>
      </w:r>
    </w:p>
    <w:p w14:paraId="364D74A9" w14:textId="77777777" w:rsidR="00C3746D" w:rsidRPr="00332266" w:rsidRDefault="00C3746D" w:rsidP="00C3746D">
      <w:pPr>
        <w:pStyle w:val="Body"/>
        <w:jc w:val="both"/>
        <w:rPr>
          <w:rFonts w:cs="Times New Roman"/>
        </w:rPr>
      </w:pPr>
      <w:r w:rsidRPr="00332266">
        <w:rPr>
          <w:rFonts w:cs="Times New Roman"/>
        </w:rPr>
        <w:t>Esimees</w:t>
      </w:r>
    </w:p>
    <w:p w14:paraId="7C72FF46" w14:textId="77777777" w:rsidR="00C3746D" w:rsidRPr="00332266" w:rsidRDefault="00C3746D" w:rsidP="00C3746D">
      <w:pPr>
        <w:pStyle w:val="Body"/>
        <w:jc w:val="both"/>
        <w:rPr>
          <w:rFonts w:cs="Times New Roman"/>
        </w:rPr>
      </w:pPr>
      <w:r w:rsidRPr="00332266">
        <w:rPr>
          <w:rFonts w:cs="Times New Roman"/>
        </w:rPr>
        <w:lastRenderedPageBreak/>
        <w:t>Merit Aavekukk-Tamm 6979 253</w:t>
      </w:r>
    </w:p>
    <w:p w14:paraId="62B81EC2" w14:textId="77777777" w:rsidR="00C3746D" w:rsidRPr="00332266" w:rsidRDefault="00C3746D" w:rsidP="00C3746D">
      <w:pPr>
        <w:pStyle w:val="Body"/>
        <w:jc w:val="both"/>
        <w:rPr>
          <w:rFonts w:cs="Times New Roman"/>
        </w:rPr>
      </w:pPr>
      <w:r w:rsidRPr="00332266">
        <w:rPr>
          <w:rFonts w:cs="Times New Roman"/>
        </w:rPr>
        <w:t>merit.aavekukk-tamm@advokatuur.ee</w:t>
      </w:r>
    </w:p>
    <w:p w14:paraId="4C80DBE8" w14:textId="77777777" w:rsidR="00C3746D" w:rsidRPr="00332266" w:rsidRDefault="00C3746D" w:rsidP="00C3746D">
      <w:pPr>
        <w:widowControl/>
        <w:suppressAutoHyphens w:val="0"/>
        <w:spacing w:after="200"/>
        <w:jc w:val="both"/>
        <w:rPr>
          <w:szCs w:val="24"/>
        </w:rPr>
      </w:pPr>
    </w:p>
    <w:p w14:paraId="44F74287" w14:textId="77777777" w:rsidR="00C3746D" w:rsidRPr="00A45C9F" w:rsidRDefault="00C3746D" w:rsidP="003403F2">
      <w:pPr>
        <w:widowControl/>
        <w:suppressAutoHyphens w:val="0"/>
        <w:spacing w:after="200"/>
        <w:jc w:val="both"/>
        <w:rPr>
          <w:szCs w:val="24"/>
        </w:rPr>
      </w:pPr>
    </w:p>
    <w:sectPr w:rsidR="00C3746D" w:rsidRPr="00A45C9F" w:rsidSect="001C3E91">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5B30" w14:textId="77777777" w:rsidR="00926522" w:rsidRDefault="00926522" w:rsidP="00F636B5">
      <w:r>
        <w:separator/>
      </w:r>
    </w:p>
  </w:endnote>
  <w:endnote w:type="continuationSeparator" w:id="0">
    <w:p w14:paraId="46422BDD" w14:textId="77777777" w:rsidR="00926522" w:rsidRDefault="00926522"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79547"/>
      <w:docPartObj>
        <w:docPartGallery w:val="Page Numbers (Bottom of Page)"/>
        <w:docPartUnique/>
      </w:docPartObj>
    </w:sdtPr>
    <w:sdtEndPr/>
    <w:sdtContent>
      <w:p w14:paraId="02D23DB2" w14:textId="4FAB128E" w:rsidR="00046ADB" w:rsidRDefault="00046ADB">
        <w:pPr>
          <w:pStyle w:val="Footer"/>
          <w:jc w:val="right"/>
        </w:pPr>
        <w:r>
          <w:fldChar w:fldCharType="begin"/>
        </w:r>
        <w:r>
          <w:instrText>PAGE   \* MERGEFORMAT</w:instrText>
        </w:r>
        <w:r>
          <w:fldChar w:fldCharType="separate"/>
        </w:r>
        <w:r>
          <w:t>2</w:t>
        </w:r>
        <w:r>
          <w:fldChar w:fldCharType="end"/>
        </w:r>
      </w:p>
    </w:sdtContent>
  </w:sdt>
  <w:p w14:paraId="4D61D1EE" w14:textId="77777777" w:rsidR="00A45C9F" w:rsidRDefault="00A45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54E4" w14:textId="0A6484BA" w:rsidR="008A5914" w:rsidRPr="008A5914" w:rsidRDefault="0021034C" w:rsidP="008A5914">
    <w:pPr>
      <w:pStyle w:val="Footer"/>
      <w:pBdr>
        <w:top w:val="single" w:sz="1" w:space="1" w:color="000000"/>
      </w:pBdr>
      <w:rPr>
        <w:rFonts w:ascii="Times New Roman" w:hAnsi="Times New Roman" w:cs="Times New Roman"/>
        <w:sz w:val="24"/>
        <w:szCs w:val="24"/>
      </w:rPr>
    </w:pPr>
    <w:r>
      <w:rPr>
        <w:rFonts w:ascii="Times New Roman" w:hAnsi="Times New Roman" w:cs="Times New Roman"/>
        <w:sz w:val="24"/>
        <w:szCs w:val="24"/>
      </w:rPr>
      <w:t xml:space="preserve">Kentmanni 4 </w:t>
    </w:r>
    <w:r w:rsidR="008A5914" w:rsidRPr="008A5914">
      <w:rPr>
        <w:rFonts w:ascii="Times New Roman" w:hAnsi="Times New Roman" w:cs="Times New Roman"/>
        <w:sz w:val="24"/>
        <w:szCs w:val="24"/>
      </w:rPr>
      <w:t xml:space="preserve">                 Tel 662 0665             </w:t>
    </w:r>
    <w:r w:rsidR="008A5914" w:rsidRPr="008A5914">
      <w:rPr>
        <w:rFonts w:ascii="Times New Roman" w:hAnsi="Times New Roman" w:cs="Times New Roman"/>
        <w:sz w:val="24"/>
        <w:szCs w:val="24"/>
      </w:rPr>
      <w:tab/>
      <w:t xml:space="preserve">                                       </w:t>
    </w:r>
    <w:r w:rsidR="002D1AB3">
      <w:rPr>
        <w:rFonts w:ascii="Times New Roman" w:hAnsi="Times New Roman" w:cs="Times New Roman"/>
        <w:sz w:val="24"/>
        <w:szCs w:val="24"/>
      </w:rPr>
      <w:t xml:space="preserve">              </w:t>
    </w:r>
    <w:r w:rsidR="008A5914" w:rsidRPr="008A5914">
      <w:rPr>
        <w:rFonts w:ascii="Times New Roman" w:hAnsi="Times New Roman" w:cs="Times New Roman"/>
        <w:sz w:val="24"/>
        <w:szCs w:val="24"/>
      </w:rPr>
      <w:t xml:space="preserve"> Arvelduskonto </w:t>
    </w:r>
  </w:p>
  <w:p w14:paraId="5AE55C62" w14:textId="4500FF9C" w:rsidR="008A5914" w:rsidRPr="008A5914" w:rsidRDefault="008A5914" w:rsidP="008A5914">
    <w:pPr>
      <w:pStyle w:val="Footer"/>
      <w:pBdr>
        <w:top w:val="single" w:sz="1" w:space="1" w:color="000000"/>
      </w:pBdr>
      <w:rPr>
        <w:rFonts w:ascii="Times New Roman" w:hAnsi="Times New Roman" w:cs="Times New Roman"/>
        <w:sz w:val="24"/>
        <w:szCs w:val="24"/>
      </w:rPr>
    </w:pPr>
    <w:r w:rsidRPr="008A5914">
      <w:rPr>
        <w:rFonts w:ascii="Times New Roman" w:hAnsi="Times New Roman" w:cs="Times New Roman"/>
        <w:sz w:val="24"/>
        <w:szCs w:val="24"/>
      </w:rPr>
      <w:t>101</w:t>
    </w:r>
    <w:r w:rsidR="0021034C">
      <w:rPr>
        <w:rFonts w:ascii="Times New Roman" w:hAnsi="Times New Roman" w:cs="Times New Roman"/>
        <w:sz w:val="24"/>
        <w:szCs w:val="24"/>
      </w:rPr>
      <w:t>16</w:t>
    </w:r>
    <w:r w:rsidRPr="008A5914">
      <w:rPr>
        <w:rFonts w:ascii="Times New Roman" w:hAnsi="Times New Roman" w:cs="Times New Roman"/>
        <w:sz w:val="24"/>
        <w:szCs w:val="24"/>
      </w:rPr>
      <w:t xml:space="preserve"> TALLINN           E-post:</w:t>
    </w:r>
    <w:r w:rsidR="002D1AB3">
      <w:rPr>
        <w:rFonts w:ascii="Times New Roman" w:hAnsi="Times New Roman" w:cs="Times New Roman"/>
        <w:sz w:val="24"/>
        <w:szCs w:val="24"/>
      </w:rPr>
      <w:t xml:space="preserve"> </w:t>
    </w:r>
    <w:r w:rsidRPr="008A5914">
      <w:rPr>
        <w:rFonts w:ascii="Times New Roman" w:hAnsi="Times New Roman" w:cs="Times New Roman"/>
        <w:sz w:val="24"/>
        <w:szCs w:val="24"/>
      </w:rPr>
      <w:t xml:space="preserve">advokatuur@advokatuur.ee  </w:t>
    </w:r>
    <w:r w:rsidR="002D1AB3">
      <w:rPr>
        <w:rFonts w:ascii="Times New Roman" w:hAnsi="Times New Roman" w:cs="Times New Roman"/>
        <w:sz w:val="24"/>
        <w:szCs w:val="24"/>
      </w:rPr>
      <w:t xml:space="preserve">            </w:t>
    </w:r>
    <w:r w:rsidR="006D6318" w:rsidRPr="006D6318">
      <w:rPr>
        <w:rFonts w:ascii="Times New Roman" w:hAnsi="Times New Roman" w:cs="Times New Roman"/>
        <w:sz w:val="24"/>
        <w:szCs w:val="24"/>
      </w:rPr>
      <w:t>EE167700771009219435</w:t>
    </w:r>
    <w:r w:rsidRPr="008A5914">
      <w:rPr>
        <w:rFonts w:ascii="Times New Roman" w:hAnsi="Times New Roman" w:cs="Times New Roman"/>
        <w:sz w:val="24"/>
        <w:szCs w:val="24"/>
      </w:rPr>
      <w:t xml:space="preserve">                                                        </w:t>
    </w:r>
  </w:p>
  <w:p w14:paraId="2C16063A" w14:textId="593A6B7D" w:rsidR="008A5914" w:rsidRDefault="008A5914" w:rsidP="008A5914">
    <w:pPr>
      <w:pStyle w:val="Footer"/>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 xml:space="preserve">74000027                                                                           </w:t>
    </w:r>
    <w:r w:rsidR="002D1AB3">
      <w:rPr>
        <w:rFonts w:ascii="Times New Roman" w:hAnsi="Times New Roman" w:cs="Times New Roman"/>
        <w:sz w:val="24"/>
        <w:szCs w:val="28"/>
      </w:rPr>
      <w:t xml:space="preserve">             </w:t>
    </w:r>
    <w:r w:rsidRPr="008A5914">
      <w:rPr>
        <w:rFonts w:ascii="Times New Roman" w:hAnsi="Times New Roman" w:cs="Times New Roman"/>
        <w:sz w:val="24"/>
        <w:szCs w:val="28"/>
      </w:rPr>
      <w:t xml:space="preserve"> </w:t>
    </w:r>
    <w:r w:rsidR="006D6318">
      <w:rPr>
        <w:rFonts w:ascii="Times New Roman" w:hAnsi="Times New Roman" w:cs="Times New Roman"/>
        <w:sz w:val="24"/>
        <w:szCs w:val="28"/>
      </w:rPr>
      <w:t xml:space="preserve">      </w:t>
    </w:r>
    <w:r w:rsidR="006D6318" w:rsidRPr="006D6318">
      <w:rPr>
        <w:rFonts w:ascii="Times New Roman" w:hAnsi="Times New Roman" w:cs="Times New Roman"/>
        <w:sz w:val="24"/>
        <w:szCs w:val="24"/>
      </w:rPr>
      <w:t>AS LHV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DDE9" w14:textId="77777777" w:rsidR="00926522" w:rsidRDefault="00926522" w:rsidP="00F636B5">
      <w:r>
        <w:separator/>
      </w:r>
    </w:p>
  </w:footnote>
  <w:footnote w:type="continuationSeparator" w:id="0">
    <w:p w14:paraId="338020B3" w14:textId="77777777" w:rsidR="00926522" w:rsidRDefault="00926522" w:rsidP="00F636B5">
      <w:r>
        <w:continuationSeparator/>
      </w:r>
    </w:p>
  </w:footnote>
  <w:footnote w:id="1">
    <w:p w14:paraId="1A7AFC22" w14:textId="2132FF8B" w:rsidR="001F19D4" w:rsidRPr="001C26BE" w:rsidRDefault="001F19D4" w:rsidP="001F19D4">
      <w:pPr>
        <w:pStyle w:val="FootnoteText"/>
        <w:rPr>
          <w:rFonts w:ascii="Times New Roman" w:hAnsi="Times New Roman" w:cs="Times New Roman"/>
        </w:rPr>
      </w:pPr>
      <w:r w:rsidRPr="00A45C9F">
        <w:rPr>
          <w:rStyle w:val="FootnoteReference"/>
          <w:rFonts w:ascii="Times New Roman" w:hAnsi="Times New Roman" w:cs="Times New Roman"/>
          <w:sz w:val="18"/>
          <w:szCs w:val="18"/>
        </w:rPr>
        <w:footnoteRef/>
      </w:r>
      <w:r w:rsidRPr="00A45C9F">
        <w:rPr>
          <w:rFonts w:ascii="Times New Roman" w:hAnsi="Times New Roman" w:cs="Times New Roman"/>
          <w:sz w:val="18"/>
          <w:szCs w:val="18"/>
        </w:rPr>
        <w:t xml:space="preserve"> </w:t>
      </w:r>
      <w:hyperlink r:id="rId1" w:history="1">
        <w:proofErr w:type="spellStart"/>
        <w:r w:rsidR="001C26BE">
          <w:rPr>
            <w:rStyle w:val="Hyperlink"/>
            <w:rFonts w:ascii="Times New Roman" w:hAnsi="Times New Roman" w:cs="Times New Roman"/>
          </w:rPr>
          <w:t>RKEKm</w:t>
        </w:r>
        <w:proofErr w:type="spellEnd"/>
        <w:r w:rsidR="001C26BE">
          <w:rPr>
            <w:rStyle w:val="Hyperlink"/>
            <w:rFonts w:ascii="Times New Roman" w:hAnsi="Times New Roman" w:cs="Times New Roman"/>
          </w:rPr>
          <w:t xml:space="preserve"> 3-3-4-1-10</w:t>
        </w:r>
      </w:hyperlink>
      <w:r w:rsidRPr="001C26BE">
        <w:rPr>
          <w:rFonts w:ascii="Times New Roman" w:hAnsi="Times New Roman" w:cs="Times New Roman"/>
        </w:rPr>
        <w:t>,</w:t>
      </w:r>
      <w:r w:rsidR="001C26BE">
        <w:rPr>
          <w:rFonts w:ascii="Times New Roman" w:hAnsi="Times New Roman" w:cs="Times New Roman"/>
        </w:rPr>
        <w:t xml:space="preserve"> 16.03.2010,</w:t>
      </w:r>
      <w:r w:rsidRPr="001C26BE">
        <w:rPr>
          <w:rFonts w:ascii="Times New Roman" w:hAnsi="Times New Roman" w:cs="Times New Roman"/>
        </w:rPr>
        <w:t xml:space="preserve"> p 5; </w:t>
      </w:r>
      <w:hyperlink r:id="rId2" w:history="1">
        <w:proofErr w:type="spellStart"/>
        <w:r w:rsidR="00871F1E">
          <w:rPr>
            <w:rStyle w:val="Hyperlink"/>
            <w:rFonts w:ascii="Times New Roman" w:hAnsi="Times New Roman" w:cs="Times New Roman"/>
          </w:rPr>
          <w:t>RKHKo</w:t>
        </w:r>
        <w:proofErr w:type="spellEnd"/>
        <w:r w:rsidR="00871F1E">
          <w:rPr>
            <w:rStyle w:val="Hyperlink"/>
            <w:rFonts w:ascii="Times New Roman" w:hAnsi="Times New Roman" w:cs="Times New Roman"/>
          </w:rPr>
          <w:t xml:space="preserve"> 3-3-1-72-11</w:t>
        </w:r>
      </w:hyperlink>
      <w:r w:rsidRPr="001C26BE">
        <w:rPr>
          <w:rFonts w:ascii="Times New Roman" w:hAnsi="Times New Roman" w:cs="Times New Roman"/>
        </w:rPr>
        <w:t xml:space="preserve">, </w:t>
      </w:r>
      <w:r w:rsidR="00871F1E">
        <w:rPr>
          <w:rFonts w:ascii="Times New Roman" w:hAnsi="Times New Roman" w:cs="Times New Roman"/>
        </w:rPr>
        <w:t xml:space="preserve">14.12.2011, </w:t>
      </w:r>
      <w:r w:rsidRPr="001C26BE">
        <w:rPr>
          <w:rFonts w:ascii="Times New Roman" w:hAnsi="Times New Roman" w:cs="Times New Roman"/>
        </w:rPr>
        <w:t>p 8.</w:t>
      </w:r>
    </w:p>
  </w:footnote>
  <w:footnote w:id="2">
    <w:p w14:paraId="2A50B323" w14:textId="778587A2" w:rsidR="008657EC" w:rsidRPr="001C26BE" w:rsidRDefault="008657EC">
      <w:pPr>
        <w:pStyle w:val="FootnoteText"/>
        <w:rPr>
          <w:rFonts w:ascii="Times New Roman" w:hAnsi="Times New Roman" w:cs="Times New Roman"/>
        </w:rPr>
      </w:pPr>
      <w:r w:rsidRPr="001C26BE">
        <w:rPr>
          <w:rStyle w:val="FootnoteReference"/>
          <w:rFonts w:ascii="Times New Roman" w:hAnsi="Times New Roman" w:cs="Times New Roman"/>
        </w:rPr>
        <w:footnoteRef/>
      </w:r>
      <w:r w:rsidRPr="001C26BE">
        <w:rPr>
          <w:rFonts w:ascii="Times New Roman" w:hAnsi="Times New Roman" w:cs="Times New Roman"/>
        </w:rPr>
        <w:t xml:space="preserve"> </w:t>
      </w:r>
      <w:hyperlink r:id="rId3" w:history="1">
        <w:proofErr w:type="spellStart"/>
        <w:r w:rsidR="006852D6" w:rsidRPr="001C26BE">
          <w:rPr>
            <w:rStyle w:val="Hyperlink"/>
            <w:rFonts w:ascii="Times New Roman" w:hAnsi="Times New Roman" w:cs="Times New Roman"/>
          </w:rPr>
          <w:t>RKKKo</w:t>
        </w:r>
        <w:proofErr w:type="spellEnd"/>
        <w:r w:rsidR="006852D6" w:rsidRPr="001C26BE">
          <w:rPr>
            <w:rStyle w:val="Hyperlink"/>
            <w:rFonts w:ascii="Times New Roman" w:hAnsi="Times New Roman" w:cs="Times New Roman"/>
          </w:rPr>
          <w:t xml:space="preserve"> 3-1-1-12-14</w:t>
        </w:r>
      </w:hyperlink>
      <w:r w:rsidR="006852D6" w:rsidRPr="001C26BE">
        <w:rPr>
          <w:rFonts w:ascii="Times New Roman" w:hAnsi="Times New Roman" w:cs="Times New Roman"/>
        </w:rPr>
        <w:t>,</w:t>
      </w:r>
      <w:r w:rsidR="001C26BE" w:rsidRPr="001C26BE">
        <w:rPr>
          <w:rFonts w:ascii="Times New Roman" w:hAnsi="Times New Roman" w:cs="Times New Roman"/>
        </w:rPr>
        <w:t>14.04.2014,</w:t>
      </w:r>
      <w:r w:rsidR="006852D6" w:rsidRPr="001C26BE">
        <w:rPr>
          <w:rFonts w:ascii="Times New Roman" w:hAnsi="Times New Roman" w:cs="Times New Roman"/>
        </w:rPr>
        <w:t xml:space="preserve"> p 9.3 </w:t>
      </w:r>
    </w:p>
  </w:footnote>
  <w:footnote w:id="3">
    <w:p w14:paraId="1DAF948E" w14:textId="2FB9C2DC" w:rsidR="00FE7F2E" w:rsidRPr="001C26BE" w:rsidRDefault="00FE7F2E" w:rsidP="00FE7F2E">
      <w:pPr>
        <w:pStyle w:val="FootnoteText"/>
        <w:rPr>
          <w:rFonts w:ascii="Times New Roman" w:hAnsi="Times New Roman" w:cs="Times New Roman"/>
          <w:lang w:val="da-DK"/>
        </w:rPr>
      </w:pPr>
      <w:r w:rsidRPr="001C26BE">
        <w:rPr>
          <w:rStyle w:val="FootnoteReference"/>
          <w:rFonts w:ascii="Times New Roman" w:hAnsi="Times New Roman" w:cs="Times New Roman"/>
        </w:rPr>
        <w:footnoteRef/>
      </w:r>
      <w:r w:rsidRPr="001C26BE">
        <w:rPr>
          <w:rFonts w:ascii="Times New Roman" w:hAnsi="Times New Roman" w:cs="Times New Roman"/>
        </w:rPr>
        <w:t xml:space="preserve"> </w:t>
      </w:r>
      <w:hyperlink r:id="rId4" w:history="1">
        <w:r w:rsidRPr="001C26BE">
          <w:rPr>
            <w:rStyle w:val="Hyperlink"/>
            <w:rFonts w:ascii="Times New Roman" w:hAnsi="Times New Roman" w:cs="Times New Roman"/>
            <w:lang w:val="da-DK"/>
          </w:rPr>
          <w:t>RKKKo 1-22-2637</w:t>
        </w:r>
      </w:hyperlink>
      <w:r w:rsidRPr="001C26BE">
        <w:rPr>
          <w:rFonts w:ascii="Times New Roman" w:hAnsi="Times New Roman" w:cs="Times New Roman"/>
          <w:lang w:val="da-DK"/>
        </w:rPr>
        <w:t xml:space="preserve">, </w:t>
      </w:r>
      <w:r w:rsidR="008717E1" w:rsidRPr="001C26BE">
        <w:rPr>
          <w:rFonts w:ascii="Times New Roman" w:hAnsi="Times New Roman" w:cs="Times New Roman"/>
          <w:lang w:val="da-DK"/>
        </w:rPr>
        <w:t xml:space="preserve">05.12.2025, </w:t>
      </w:r>
      <w:r w:rsidRPr="001C26BE">
        <w:rPr>
          <w:rFonts w:ascii="Times New Roman" w:hAnsi="Times New Roman" w:cs="Times New Roman"/>
          <w:lang w:val="da-DK"/>
        </w:rPr>
        <w:t>p 35.</w:t>
      </w:r>
    </w:p>
  </w:footnote>
  <w:footnote w:id="4">
    <w:p w14:paraId="20B9B07C" w14:textId="0F59A526" w:rsidR="001971B4" w:rsidRPr="00AD7CD9" w:rsidRDefault="001971B4" w:rsidP="001971B4">
      <w:pPr>
        <w:pStyle w:val="FootnoteText"/>
        <w:rPr>
          <w:rFonts w:ascii="Times New Roman" w:hAnsi="Times New Roman" w:cs="Times New Roman"/>
          <w:lang w:val="da-DK"/>
        </w:rPr>
      </w:pPr>
      <w:r w:rsidRPr="00102770">
        <w:rPr>
          <w:rStyle w:val="FootnoteReference"/>
          <w:rFonts w:ascii="Times New Roman" w:hAnsi="Times New Roman" w:cs="Times New Roman"/>
          <w:sz w:val="18"/>
          <w:szCs w:val="18"/>
        </w:rPr>
        <w:footnoteRef/>
      </w:r>
      <w:r w:rsidRPr="00102770">
        <w:rPr>
          <w:rFonts w:ascii="Times New Roman" w:hAnsi="Times New Roman" w:cs="Times New Roman"/>
          <w:sz w:val="18"/>
          <w:szCs w:val="18"/>
        </w:rPr>
        <w:t xml:space="preserve"> </w:t>
      </w:r>
      <w:hyperlink r:id="rId5" w:history="1">
        <w:r w:rsidR="00AF16F1" w:rsidRPr="00AD7CD9">
          <w:rPr>
            <w:rStyle w:val="Hyperlink"/>
            <w:rFonts w:ascii="Times New Roman" w:hAnsi="Times New Roman" w:cs="Times New Roman"/>
            <w:lang w:val="da-DK"/>
          </w:rPr>
          <w:t xml:space="preserve">RKKKo </w:t>
        </w:r>
        <w:r w:rsidR="00AF16F1" w:rsidRPr="00AD7CD9">
          <w:rPr>
            <w:rStyle w:val="Hyperlink"/>
            <w:rFonts w:ascii="Times New Roman" w:hAnsi="Times New Roman" w:cs="Times New Roman"/>
            <w:lang w:val="da-DK"/>
          </w:rPr>
          <w:t>1-22-2637</w:t>
        </w:r>
      </w:hyperlink>
      <w:r w:rsidR="00AF16F1" w:rsidRPr="00AD7CD9">
        <w:rPr>
          <w:rFonts w:ascii="Times New Roman" w:hAnsi="Times New Roman" w:cs="Times New Roman"/>
          <w:lang w:val="da-DK"/>
        </w:rPr>
        <w:t>,</w:t>
      </w:r>
      <w:r w:rsidR="008717E1" w:rsidRPr="00AD7CD9">
        <w:rPr>
          <w:rFonts w:ascii="Times New Roman" w:hAnsi="Times New Roman" w:cs="Times New Roman"/>
          <w:lang w:val="da-DK"/>
        </w:rPr>
        <w:t xml:space="preserve"> 05.12.2025</w:t>
      </w:r>
      <w:r w:rsidRPr="00AD7CD9">
        <w:rPr>
          <w:rFonts w:ascii="Times New Roman" w:hAnsi="Times New Roman" w:cs="Times New Roman"/>
          <w:lang w:val="da-DK"/>
        </w:rPr>
        <w:t>, p 36.</w:t>
      </w:r>
    </w:p>
  </w:footnote>
  <w:footnote w:id="5">
    <w:p w14:paraId="5132D514" w14:textId="30092B3E" w:rsidR="009844B6" w:rsidRPr="00AD7CD9" w:rsidRDefault="009844B6">
      <w:pPr>
        <w:pStyle w:val="FootnoteText"/>
        <w:rPr>
          <w:rFonts w:ascii="Times New Roman" w:hAnsi="Times New Roman" w:cs="Times New Roman"/>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6" w:history="1">
        <w:proofErr w:type="spellStart"/>
        <w:r w:rsidRPr="00AD7CD9">
          <w:rPr>
            <w:rStyle w:val="Hyperlink"/>
            <w:rFonts w:ascii="Times New Roman" w:hAnsi="Times New Roman" w:cs="Times New Roman"/>
          </w:rPr>
          <w:t>RKKKo</w:t>
        </w:r>
        <w:proofErr w:type="spellEnd"/>
        <w:r w:rsidRPr="00AD7CD9">
          <w:rPr>
            <w:rStyle w:val="Hyperlink"/>
            <w:rFonts w:ascii="Times New Roman" w:hAnsi="Times New Roman" w:cs="Times New Roman"/>
          </w:rPr>
          <w:t xml:space="preserve"> 3-1-1-98-15,</w:t>
        </w:r>
      </w:hyperlink>
      <w:r w:rsidRPr="00AD7CD9">
        <w:rPr>
          <w:rFonts w:ascii="Times New Roman" w:hAnsi="Times New Roman" w:cs="Times New Roman"/>
        </w:rPr>
        <w:t xml:space="preserve"> </w:t>
      </w:r>
      <w:r w:rsidR="000A7247" w:rsidRPr="00AD7CD9">
        <w:rPr>
          <w:rFonts w:ascii="Times New Roman" w:hAnsi="Times New Roman" w:cs="Times New Roman"/>
        </w:rPr>
        <w:t>11.12.</w:t>
      </w:r>
      <w:r w:rsidR="005A227E" w:rsidRPr="00AD7CD9">
        <w:rPr>
          <w:rFonts w:ascii="Times New Roman" w:hAnsi="Times New Roman" w:cs="Times New Roman"/>
        </w:rPr>
        <w:t>2015</w:t>
      </w:r>
      <w:r w:rsidR="003B7D68" w:rsidRPr="00AD7CD9">
        <w:rPr>
          <w:rFonts w:ascii="Times New Roman" w:hAnsi="Times New Roman" w:cs="Times New Roman"/>
        </w:rPr>
        <w:t>,</w:t>
      </w:r>
      <w:r w:rsidRPr="00AD7CD9">
        <w:rPr>
          <w:rFonts w:ascii="Times New Roman" w:hAnsi="Times New Roman" w:cs="Times New Roman"/>
        </w:rPr>
        <w:t>p 92</w:t>
      </w:r>
      <w:r w:rsidR="00B0027D" w:rsidRPr="00AD7CD9">
        <w:rPr>
          <w:rFonts w:ascii="Times New Roman" w:hAnsi="Times New Roman" w:cs="Times New Roman"/>
        </w:rPr>
        <w:t>.</w:t>
      </w:r>
    </w:p>
  </w:footnote>
  <w:footnote w:id="6">
    <w:p w14:paraId="2E3E0011" w14:textId="08764D50" w:rsidR="009844B6" w:rsidRPr="00A45C9F" w:rsidRDefault="009844B6" w:rsidP="009844B6">
      <w:pPr>
        <w:pStyle w:val="FootnoteText"/>
        <w:rPr>
          <w:rFonts w:ascii="Times New Roman" w:hAnsi="Times New Roman" w:cs="Times New Roman"/>
          <w:sz w:val="18"/>
          <w:szCs w:val="18"/>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7" w:history="1">
        <w:proofErr w:type="spellStart"/>
        <w:r w:rsidRPr="00AD7CD9">
          <w:rPr>
            <w:rStyle w:val="Hyperlink"/>
            <w:rFonts w:ascii="Times New Roman" w:hAnsi="Times New Roman" w:cs="Times New Roman"/>
          </w:rPr>
          <w:t>RKKKo</w:t>
        </w:r>
        <w:proofErr w:type="spellEnd"/>
        <w:r w:rsidRPr="00AD7CD9">
          <w:rPr>
            <w:rStyle w:val="Hyperlink"/>
            <w:rFonts w:ascii="Times New Roman" w:hAnsi="Times New Roman" w:cs="Times New Roman"/>
          </w:rPr>
          <w:t xml:space="preserve"> 1-19-5367</w:t>
        </w:r>
      </w:hyperlink>
      <w:r w:rsidRPr="00AD7CD9">
        <w:rPr>
          <w:rFonts w:ascii="Times New Roman" w:hAnsi="Times New Roman" w:cs="Times New Roman"/>
        </w:rPr>
        <w:t xml:space="preserve">, </w:t>
      </w:r>
      <w:r w:rsidR="00B31D0A" w:rsidRPr="00AD7CD9">
        <w:rPr>
          <w:rFonts w:ascii="Times New Roman" w:hAnsi="Times New Roman" w:cs="Times New Roman"/>
        </w:rPr>
        <w:t xml:space="preserve">28.05.2021, </w:t>
      </w:r>
      <w:r w:rsidRPr="00AD7CD9">
        <w:rPr>
          <w:rFonts w:ascii="Times New Roman" w:hAnsi="Times New Roman" w:cs="Times New Roman"/>
        </w:rPr>
        <w:t>p 29.</w:t>
      </w:r>
    </w:p>
  </w:footnote>
  <w:footnote w:id="7">
    <w:p w14:paraId="3A9706B6" w14:textId="054FC67A" w:rsidR="008F7A38" w:rsidRDefault="008F7A38">
      <w:pPr>
        <w:pStyle w:val="FootnoteText"/>
      </w:pPr>
      <w:r>
        <w:rPr>
          <w:rStyle w:val="FootnoteReference"/>
        </w:rPr>
        <w:footnoteRef/>
      </w:r>
      <w:r>
        <w:t xml:space="preserve"> </w:t>
      </w:r>
      <w:hyperlink r:id="rId8" w:history="1">
        <w:r w:rsidRPr="00AD7CD9">
          <w:rPr>
            <w:rStyle w:val="Hyperlink"/>
            <w:rFonts w:ascii="Times New Roman" w:hAnsi="Times New Roman" w:cs="Times New Roman"/>
            <w:lang w:val="da-DK"/>
          </w:rPr>
          <w:t>RKKKo 1-22-2637</w:t>
        </w:r>
      </w:hyperlink>
      <w:r w:rsidRPr="00AD7CD9">
        <w:rPr>
          <w:rFonts w:ascii="Times New Roman" w:hAnsi="Times New Roman" w:cs="Times New Roman"/>
          <w:lang w:val="da-DK"/>
        </w:rPr>
        <w:t>, 05.12.2025</w:t>
      </w:r>
      <w:r>
        <w:rPr>
          <w:rFonts w:ascii="Times New Roman" w:hAnsi="Times New Roman" w:cs="Times New Roman"/>
          <w:lang w:val="da-DK"/>
        </w:rPr>
        <w:t>.</w:t>
      </w:r>
    </w:p>
  </w:footnote>
  <w:footnote w:id="8">
    <w:p w14:paraId="6DB765BF" w14:textId="62A2EEC8" w:rsidR="007010B9" w:rsidRPr="00AD7CD9" w:rsidRDefault="007010B9" w:rsidP="00B774D1">
      <w:pPr>
        <w:pStyle w:val="FootnoteText"/>
        <w:jc w:val="left"/>
        <w:rPr>
          <w:rFonts w:ascii="Times New Roman" w:hAnsi="Times New Roman" w:cs="Times New Roman"/>
        </w:rPr>
      </w:pPr>
      <w:r w:rsidRPr="00A45C9F">
        <w:rPr>
          <w:rStyle w:val="FootnoteReference"/>
          <w:rFonts w:ascii="Times New Roman" w:hAnsi="Times New Roman" w:cs="Times New Roman"/>
          <w:sz w:val="18"/>
          <w:szCs w:val="18"/>
        </w:rPr>
        <w:footnoteRef/>
      </w:r>
      <w:r w:rsidRPr="00A45C9F">
        <w:rPr>
          <w:rFonts w:ascii="Times New Roman" w:hAnsi="Times New Roman" w:cs="Times New Roman"/>
          <w:sz w:val="18"/>
          <w:szCs w:val="18"/>
        </w:rPr>
        <w:t xml:space="preserve"> </w:t>
      </w:r>
      <w:r w:rsidR="008E7172" w:rsidRPr="00AD7CD9">
        <w:rPr>
          <w:rFonts w:ascii="Times New Roman" w:hAnsi="Times New Roman" w:cs="Times New Roman"/>
        </w:rPr>
        <w:t>Korruptsioonivastase seaduse muutmise seaduse eelnõu. Seletuskiri,</w:t>
      </w:r>
      <w:r w:rsidRPr="00AD7CD9">
        <w:rPr>
          <w:rFonts w:ascii="Times New Roman" w:hAnsi="Times New Roman" w:cs="Times New Roman"/>
        </w:rPr>
        <w:t xml:space="preserve"> lk 2</w:t>
      </w:r>
      <w:r w:rsidR="008E7172" w:rsidRPr="00AD7CD9">
        <w:rPr>
          <w:rFonts w:ascii="Times New Roman" w:hAnsi="Times New Roman" w:cs="Times New Roman"/>
        </w:rPr>
        <w:t>.</w:t>
      </w:r>
    </w:p>
  </w:footnote>
  <w:footnote w:id="9">
    <w:p w14:paraId="00D7D07E" w14:textId="64CB9909" w:rsidR="58CC08EC" w:rsidRDefault="58CC08EC" w:rsidP="58CC08EC">
      <w:pPr>
        <w:pStyle w:val="FootnoteText"/>
        <w:rPr>
          <w:rFonts w:ascii="Times New Roman" w:hAnsi="Times New Roman" w:cs="Times New Roman"/>
          <w:lang w:val="da-DK"/>
        </w:rPr>
      </w:pPr>
      <w:r w:rsidRPr="58CC08EC">
        <w:rPr>
          <w:rStyle w:val="FootnoteReference"/>
          <w:rFonts w:ascii="Times New Roman" w:hAnsi="Times New Roman" w:cs="Times New Roman"/>
        </w:rPr>
        <w:footnoteRef/>
      </w:r>
      <w:r w:rsidRPr="58CC08EC">
        <w:rPr>
          <w:rFonts w:ascii="Times New Roman" w:hAnsi="Times New Roman" w:cs="Times New Roman"/>
        </w:rPr>
        <w:t xml:space="preserve"> </w:t>
      </w:r>
      <w:hyperlink r:id="rId9">
        <w:r w:rsidRPr="58CC08EC">
          <w:rPr>
            <w:rStyle w:val="Hyperlink"/>
            <w:rFonts w:ascii="Times New Roman" w:hAnsi="Times New Roman" w:cs="Times New Roman"/>
            <w:lang w:val="da-DK"/>
          </w:rPr>
          <w:t>TlnRnKo 1-21-4033</w:t>
        </w:r>
      </w:hyperlink>
      <w:r w:rsidRPr="58CC08EC">
        <w:rPr>
          <w:rFonts w:ascii="Times New Roman" w:hAnsi="Times New Roman" w:cs="Times New Roman"/>
          <w:lang w:val="da-DK"/>
        </w:rPr>
        <w:t xml:space="preserve">, </w:t>
      </w:r>
      <w:r w:rsidRPr="58CC08EC">
        <w:rPr>
          <w:rFonts w:ascii="Times New Roman" w:hAnsi="Times New Roman" w:cs="Times New Roman"/>
        </w:rPr>
        <w:t xml:space="preserve">31.05.2024, </w:t>
      </w:r>
      <w:r w:rsidRPr="58CC08EC">
        <w:rPr>
          <w:rFonts w:ascii="Times New Roman" w:hAnsi="Times New Roman" w:cs="Times New Roman"/>
          <w:lang w:val="da-DK"/>
        </w:rPr>
        <w:t>p 226.</w:t>
      </w:r>
    </w:p>
  </w:footnote>
  <w:footnote w:id="10">
    <w:p w14:paraId="17B39DA8" w14:textId="7686D3C1" w:rsidR="008E7172" w:rsidRPr="00AD7CD9" w:rsidRDefault="008E7172" w:rsidP="00B774D1">
      <w:pPr>
        <w:pStyle w:val="FootnoteText"/>
        <w:jc w:val="left"/>
        <w:rPr>
          <w:rFonts w:ascii="Times New Roman" w:hAnsi="Times New Roman" w:cs="Times New Roman"/>
          <w:lang w:val="en-US"/>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r w:rsidRPr="00AD7CD9">
        <w:rPr>
          <w:rFonts w:ascii="Times New Roman" w:hAnsi="Times New Roman" w:cs="Times New Roman"/>
        </w:rPr>
        <w:t xml:space="preserve">Vt nt õiguskantsleri 2023. a ettekanne Riigikogu õiguskomisjonile. Arvutivõrgus: </w:t>
      </w:r>
      <w:hyperlink r:id="rId10" w:history="1">
        <w:r w:rsidRPr="00AD7CD9">
          <w:rPr>
            <w:rStyle w:val="Hyperlink"/>
            <w:rFonts w:ascii="Times New Roman" w:hAnsi="Times New Roman" w:cs="Times New Roman"/>
          </w:rPr>
          <w:t>https://www.oiguskantsler.ee/sites/default/files/field_document2/Ettekanne%20Riigikogu%20oiguskomisjonile</w:t>
        </w:r>
      </w:hyperlink>
      <w:r w:rsidRPr="00AD7CD9">
        <w:rPr>
          <w:rFonts w:ascii="Times New Roman" w:hAnsi="Times New Roman" w:cs="Times New Roman"/>
        </w:rPr>
        <w:t xml:space="preserve">. </w:t>
      </w:r>
    </w:p>
  </w:footnote>
  <w:footnote w:id="11">
    <w:p w14:paraId="215F9874" w14:textId="554B22AE" w:rsidR="008D0F87" w:rsidRPr="00AD7CD9" w:rsidRDefault="008D0F87" w:rsidP="00B774D1">
      <w:pPr>
        <w:pStyle w:val="FootnoteText"/>
        <w:jc w:val="left"/>
        <w:rPr>
          <w:rFonts w:ascii="Times New Roman" w:hAnsi="Times New Roman" w:cs="Times New Roman"/>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11" w:history="1">
        <w:proofErr w:type="spellStart"/>
        <w:r w:rsidR="002A7530" w:rsidRPr="00AD7CD9">
          <w:rPr>
            <w:rStyle w:val="Hyperlink"/>
            <w:rFonts w:ascii="Times New Roman" w:hAnsi="Times New Roman" w:cs="Times New Roman"/>
          </w:rPr>
          <w:t>RKÜKo</w:t>
        </w:r>
        <w:proofErr w:type="spellEnd"/>
        <w:r w:rsidR="002A7530" w:rsidRPr="00AD7CD9">
          <w:rPr>
            <w:rStyle w:val="Hyperlink"/>
            <w:rFonts w:ascii="Times New Roman" w:hAnsi="Times New Roman" w:cs="Times New Roman"/>
          </w:rPr>
          <w:t xml:space="preserve"> 3-4-1-16-10</w:t>
        </w:r>
      </w:hyperlink>
      <w:r w:rsidR="002A7530" w:rsidRPr="00AD7CD9">
        <w:rPr>
          <w:rFonts w:ascii="Times New Roman" w:hAnsi="Times New Roman" w:cs="Times New Roman"/>
        </w:rPr>
        <w:t xml:space="preserve">, </w:t>
      </w:r>
      <w:r w:rsidR="00130B66" w:rsidRPr="00AD7CD9">
        <w:rPr>
          <w:rFonts w:ascii="Times New Roman" w:hAnsi="Times New Roman" w:cs="Times New Roman"/>
        </w:rPr>
        <w:t>21.06.2011</w:t>
      </w:r>
      <w:r w:rsidR="00F636C2" w:rsidRPr="00AD7CD9">
        <w:rPr>
          <w:rFonts w:ascii="Times New Roman" w:hAnsi="Times New Roman" w:cs="Times New Roman"/>
        </w:rPr>
        <w:t xml:space="preserve">, </w:t>
      </w:r>
      <w:r w:rsidR="002A7530" w:rsidRPr="00AD7CD9">
        <w:rPr>
          <w:rFonts w:ascii="Times New Roman" w:hAnsi="Times New Roman" w:cs="Times New Roman"/>
        </w:rPr>
        <w:t>p 50.</w:t>
      </w:r>
    </w:p>
  </w:footnote>
  <w:footnote w:id="12">
    <w:p w14:paraId="7C4958B7" w14:textId="2F68B769" w:rsidR="009E1AB4" w:rsidRPr="00AD7CD9" w:rsidRDefault="009E1AB4" w:rsidP="00B774D1">
      <w:pPr>
        <w:pStyle w:val="FootnoteText"/>
        <w:jc w:val="left"/>
        <w:rPr>
          <w:rFonts w:ascii="Times New Roman" w:hAnsi="Times New Roman" w:cs="Times New Roman"/>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r w:rsidRPr="00AD7CD9">
        <w:rPr>
          <w:rFonts w:ascii="Times New Roman" w:hAnsi="Times New Roman" w:cs="Times New Roman"/>
        </w:rPr>
        <w:t>M. Truu. Ettenähtavuse põhimõte: millal on süüteokoosseis piisavalt selgesti määratletud? Euroopa Inimõiguste Kohtu praktika näide – Juridica 2022/9-10, lk 711-722.</w:t>
      </w:r>
    </w:p>
  </w:footnote>
  <w:footnote w:id="13">
    <w:p w14:paraId="3FE18884" w14:textId="1750F0A4" w:rsidR="002A7530" w:rsidRPr="00AD7CD9" w:rsidRDefault="002A7530" w:rsidP="00B774D1">
      <w:pPr>
        <w:pStyle w:val="FootnoteText"/>
        <w:jc w:val="left"/>
        <w:rPr>
          <w:rFonts w:ascii="Times New Roman" w:hAnsi="Times New Roman" w:cs="Times New Roman"/>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12" w:anchor="{%22itemid%22:[%22001-60891%22]}" w:history="1">
        <w:proofErr w:type="spellStart"/>
        <w:r w:rsidRPr="00AD7CD9">
          <w:rPr>
            <w:rStyle w:val="Hyperlink"/>
            <w:rFonts w:ascii="Times New Roman" w:hAnsi="Times New Roman" w:cs="Times New Roman"/>
          </w:rPr>
          <w:t>EIKo</w:t>
        </w:r>
        <w:proofErr w:type="spellEnd"/>
        <w:r w:rsidRPr="00AD7CD9">
          <w:rPr>
            <w:rStyle w:val="Hyperlink"/>
            <w:rFonts w:ascii="Times New Roman" w:hAnsi="Times New Roman" w:cs="Times New Roman"/>
          </w:rPr>
          <w:t xml:space="preserve"> 45771/99, </w:t>
        </w:r>
        <w:proofErr w:type="spellStart"/>
        <w:r w:rsidRPr="00AD7CD9">
          <w:rPr>
            <w:rStyle w:val="Hyperlink"/>
            <w:rFonts w:ascii="Times New Roman" w:hAnsi="Times New Roman" w:cs="Times New Roman"/>
            <w:i/>
            <w:iCs/>
          </w:rPr>
          <w:t>Veeber</w:t>
        </w:r>
        <w:proofErr w:type="spellEnd"/>
        <w:r w:rsidRPr="00AD7CD9">
          <w:rPr>
            <w:rStyle w:val="Hyperlink"/>
            <w:rFonts w:ascii="Times New Roman" w:hAnsi="Times New Roman" w:cs="Times New Roman"/>
            <w:i/>
            <w:iCs/>
          </w:rPr>
          <w:t xml:space="preserve"> vs. Eesti</w:t>
        </w:r>
        <w:r w:rsidRPr="00AD7CD9">
          <w:rPr>
            <w:rStyle w:val="Hyperlink"/>
            <w:rFonts w:ascii="Times New Roman" w:hAnsi="Times New Roman" w:cs="Times New Roman"/>
          </w:rPr>
          <w:t xml:space="preserve"> (nr 2), 21.01.2003</w:t>
        </w:r>
      </w:hyperlink>
      <w:r w:rsidRPr="00AD7CD9">
        <w:rPr>
          <w:rFonts w:ascii="Times New Roman" w:hAnsi="Times New Roman" w:cs="Times New Roman"/>
        </w:rPr>
        <w:t>, p 30.</w:t>
      </w:r>
    </w:p>
  </w:footnote>
  <w:footnote w:id="14">
    <w:p w14:paraId="30E385CB" w14:textId="315B4CA9" w:rsidR="002A7530" w:rsidRPr="00AD7CD9" w:rsidRDefault="002A7530" w:rsidP="00B774D1">
      <w:pPr>
        <w:pStyle w:val="FootnoteText"/>
        <w:jc w:val="left"/>
        <w:rPr>
          <w:rFonts w:ascii="Times New Roman" w:hAnsi="Times New Roman" w:cs="Times New Roman"/>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13" w:history="1">
        <w:proofErr w:type="spellStart"/>
        <w:r w:rsidRPr="00AD7CD9">
          <w:rPr>
            <w:rStyle w:val="Hyperlink"/>
            <w:rFonts w:ascii="Times New Roman" w:hAnsi="Times New Roman" w:cs="Times New Roman"/>
          </w:rPr>
          <w:t>RKKKo</w:t>
        </w:r>
        <w:proofErr w:type="spellEnd"/>
        <w:r w:rsidRPr="00AD7CD9">
          <w:rPr>
            <w:rStyle w:val="Hyperlink"/>
            <w:rFonts w:ascii="Times New Roman" w:hAnsi="Times New Roman" w:cs="Times New Roman"/>
          </w:rPr>
          <w:t xml:space="preserve"> 3-1-1-23-12</w:t>
        </w:r>
      </w:hyperlink>
      <w:r w:rsidRPr="00AD7CD9">
        <w:rPr>
          <w:rFonts w:ascii="Times New Roman" w:hAnsi="Times New Roman" w:cs="Times New Roman"/>
        </w:rPr>
        <w:t xml:space="preserve">, </w:t>
      </w:r>
      <w:r w:rsidR="000345A2" w:rsidRPr="00AD7CD9">
        <w:rPr>
          <w:rFonts w:ascii="Times New Roman" w:hAnsi="Times New Roman" w:cs="Times New Roman"/>
        </w:rPr>
        <w:t xml:space="preserve">30.04.2012, </w:t>
      </w:r>
      <w:r w:rsidRPr="00AD7CD9">
        <w:rPr>
          <w:rFonts w:ascii="Times New Roman" w:hAnsi="Times New Roman" w:cs="Times New Roman"/>
        </w:rPr>
        <w:t xml:space="preserve">p 8.2 ja </w:t>
      </w:r>
      <w:hyperlink r:id="rId14" w:history="1">
        <w:proofErr w:type="spellStart"/>
        <w:r w:rsidRPr="00AD7CD9">
          <w:rPr>
            <w:rStyle w:val="Hyperlink"/>
            <w:rFonts w:ascii="Times New Roman" w:hAnsi="Times New Roman" w:cs="Times New Roman"/>
          </w:rPr>
          <w:t>RKKKo</w:t>
        </w:r>
        <w:proofErr w:type="spellEnd"/>
        <w:r w:rsidRPr="00AD7CD9">
          <w:rPr>
            <w:rStyle w:val="Hyperlink"/>
            <w:rFonts w:ascii="Times New Roman" w:hAnsi="Times New Roman" w:cs="Times New Roman"/>
          </w:rPr>
          <w:t xml:space="preserve"> 3-1-1-103-12</w:t>
        </w:r>
      </w:hyperlink>
      <w:r w:rsidRPr="00AD7CD9">
        <w:rPr>
          <w:rFonts w:ascii="Times New Roman" w:hAnsi="Times New Roman" w:cs="Times New Roman"/>
        </w:rPr>
        <w:t xml:space="preserve">, </w:t>
      </w:r>
      <w:r w:rsidR="003C400E" w:rsidRPr="00AD7CD9">
        <w:rPr>
          <w:rFonts w:ascii="Times New Roman" w:hAnsi="Times New Roman" w:cs="Times New Roman"/>
        </w:rPr>
        <w:t>23.11.2012</w:t>
      </w:r>
      <w:r w:rsidR="0062171C" w:rsidRPr="00AD7CD9">
        <w:rPr>
          <w:rFonts w:ascii="Times New Roman" w:hAnsi="Times New Roman" w:cs="Times New Roman"/>
        </w:rPr>
        <w:t xml:space="preserve">, </w:t>
      </w:r>
      <w:r w:rsidRPr="00AD7CD9">
        <w:rPr>
          <w:rFonts w:ascii="Times New Roman" w:hAnsi="Times New Roman" w:cs="Times New Roman"/>
        </w:rPr>
        <w:t>p 9.</w:t>
      </w:r>
    </w:p>
  </w:footnote>
  <w:footnote w:id="15">
    <w:p w14:paraId="6AF379AD" w14:textId="495877B6" w:rsidR="008F2E3F" w:rsidRPr="00AD7CD9" w:rsidRDefault="008F2E3F" w:rsidP="00B774D1">
      <w:pPr>
        <w:pStyle w:val="FootnoteText"/>
        <w:jc w:val="left"/>
        <w:rPr>
          <w:rFonts w:ascii="Times New Roman" w:hAnsi="Times New Roman" w:cs="Times New Roman"/>
          <w:lang w:val="da-DK"/>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15" w:history="1">
        <w:r w:rsidRPr="00AD7CD9">
          <w:rPr>
            <w:rStyle w:val="Hyperlink"/>
            <w:rFonts w:ascii="Times New Roman" w:hAnsi="Times New Roman" w:cs="Times New Roman"/>
            <w:lang w:val="da-DK"/>
          </w:rPr>
          <w:t>RKKKo 1-17-6580</w:t>
        </w:r>
      </w:hyperlink>
      <w:r w:rsidRPr="00AD7CD9">
        <w:rPr>
          <w:rFonts w:ascii="Times New Roman" w:hAnsi="Times New Roman" w:cs="Times New Roman"/>
          <w:lang w:val="da-DK"/>
        </w:rPr>
        <w:t xml:space="preserve">, </w:t>
      </w:r>
      <w:r w:rsidR="002E58BF" w:rsidRPr="00AD7CD9">
        <w:rPr>
          <w:rFonts w:ascii="Times New Roman" w:hAnsi="Times New Roman" w:cs="Times New Roman"/>
          <w:lang w:val="da-DK"/>
        </w:rPr>
        <w:t xml:space="preserve">09.11.2018, </w:t>
      </w:r>
      <w:r w:rsidRPr="00AD7CD9">
        <w:rPr>
          <w:rFonts w:ascii="Times New Roman" w:hAnsi="Times New Roman" w:cs="Times New Roman"/>
          <w:lang w:val="da-DK"/>
        </w:rPr>
        <w:t>p-d 11-12.</w:t>
      </w:r>
    </w:p>
  </w:footnote>
  <w:footnote w:id="16">
    <w:p w14:paraId="47AC0DBA" w14:textId="0F09A363" w:rsidR="00892544" w:rsidRPr="00AD7CD9" w:rsidRDefault="00892544">
      <w:pPr>
        <w:pStyle w:val="FootnoteText"/>
        <w:rPr>
          <w:rFonts w:ascii="Times New Roman" w:hAnsi="Times New Roman" w:cs="Times New Roman"/>
          <w:lang w:val="da-DK"/>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16" w:history="1">
        <w:r w:rsidRPr="00AD7CD9">
          <w:rPr>
            <w:rStyle w:val="Hyperlink"/>
            <w:rFonts w:ascii="Times New Roman" w:hAnsi="Times New Roman" w:cs="Times New Roman"/>
            <w:lang w:val="da-DK"/>
          </w:rPr>
          <w:t xml:space="preserve">RKKKo </w:t>
        </w:r>
        <w:r w:rsidRPr="00AD7CD9">
          <w:rPr>
            <w:rStyle w:val="Hyperlink"/>
            <w:rFonts w:ascii="Times New Roman" w:hAnsi="Times New Roman" w:cs="Times New Roman"/>
            <w:lang w:val="da-DK"/>
          </w:rPr>
          <w:t>1-22-2637</w:t>
        </w:r>
      </w:hyperlink>
      <w:r w:rsidRPr="00AD7CD9">
        <w:rPr>
          <w:rFonts w:ascii="Times New Roman" w:hAnsi="Times New Roman" w:cs="Times New Roman"/>
          <w:lang w:val="da-DK"/>
        </w:rPr>
        <w:t xml:space="preserve">, </w:t>
      </w:r>
      <w:r w:rsidR="00AA455E" w:rsidRPr="00AD7CD9">
        <w:rPr>
          <w:rFonts w:ascii="Times New Roman" w:hAnsi="Times New Roman" w:cs="Times New Roman"/>
          <w:lang w:val="da-DK"/>
        </w:rPr>
        <w:t>05.12.2025</w:t>
      </w:r>
      <w:r w:rsidR="00AA455E" w:rsidRPr="00AD7CD9">
        <w:rPr>
          <w:rFonts w:ascii="Times New Roman" w:hAnsi="Times New Roman" w:cs="Times New Roman"/>
          <w:u w:val="single"/>
          <w:lang w:val="da-DK"/>
        </w:rPr>
        <w:t>,</w:t>
      </w:r>
      <w:r w:rsidR="00AA455E" w:rsidRPr="00AD7CD9">
        <w:rPr>
          <w:rFonts w:ascii="Times New Roman" w:hAnsi="Times New Roman" w:cs="Times New Roman"/>
          <w:lang w:val="da-DK"/>
        </w:rPr>
        <w:t xml:space="preserve"> </w:t>
      </w:r>
      <w:r w:rsidRPr="00AD7CD9">
        <w:rPr>
          <w:rFonts w:ascii="Times New Roman" w:hAnsi="Times New Roman" w:cs="Times New Roman"/>
          <w:lang w:val="da-DK"/>
        </w:rPr>
        <w:t>p 36.</w:t>
      </w:r>
    </w:p>
  </w:footnote>
  <w:footnote w:id="17">
    <w:p w14:paraId="13E8CA99" w14:textId="50AF09E7" w:rsidR="006A75FC" w:rsidRPr="00AD7CD9" w:rsidRDefault="006A75FC" w:rsidP="006A75FC">
      <w:pPr>
        <w:pStyle w:val="FootnoteText"/>
        <w:rPr>
          <w:rFonts w:ascii="Times New Roman" w:hAnsi="Times New Roman" w:cs="Times New Roman"/>
          <w:lang w:val="da-DK"/>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r w:rsidR="007334D6">
        <w:rPr>
          <w:rFonts w:ascii="Times New Roman" w:hAnsi="Times New Roman" w:cs="Times New Roman"/>
          <w:lang w:val="da-DK"/>
        </w:rPr>
        <w:t xml:space="preserve">Samas, </w:t>
      </w:r>
      <w:r w:rsidRPr="00AD7CD9">
        <w:rPr>
          <w:rFonts w:ascii="Times New Roman" w:hAnsi="Times New Roman" w:cs="Times New Roman"/>
          <w:lang w:val="da-DK"/>
        </w:rPr>
        <w:t xml:space="preserve"> </w:t>
      </w:r>
      <w:r w:rsidRPr="00AD7CD9">
        <w:rPr>
          <w:rFonts w:ascii="Times New Roman" w:hAnsi="Times New Roman" w:cs="Times New Roman"/>
          <w:lang w:val="da-DK"/>
        </w:rPr>
        <w:t>p 36.</w:t>
      </w:r>
    </w:p>
  </w:footnote>
  <w:footnote w:id="18">
    <w:p w14:paraId="64B11198" w14:textId="77777777" w:rsidR="006A75FC" w:rsidRPr="00AD7CD9" w:rsidRDefault="006A75FC" w:rsidP="006A75FC">
      <w:pPr>
        <w:pStyle w:val="FootnoteText"/>
        <w:rPr>
          <w:rFonts w:ascii="Times New Roman" w:hAnsi="Times New Roman" w:cs="Times New Roman"/>
          <w:lang w:val="da-DK"/>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r w:rsidRPr="00AD7CD9">
        <w:rPr>
          <w:rFonts w:ascii="Times New Roman" w:hAnsi="Times New Roman" w:cs="Times New Roman"/>
          <w:lang w:val="da-DK"/>
        </w:rPr>
        <w:t xml:space="preserve">Samas, </w:t>
      </w:r>
      <w:r w:rsidRPr="00AD7CD9">
        <w:rPr>
          <w:rFonts w:ascii="Times New Roman" w:hAnsi="Times New Roman" w:cs="Times New Roman"/>
          <w:lang w:val="da-DK"/>
        </w:rPr>
        <w:t>p 37.</w:t>
      </w:r>
    </w:p>
  </w:footnote>
  <w:footnote w:id="19">
    <w:p w14:paraId="4582A6E1" w14:textId="64319CA9" w:rsidR="00B87E0C" w:rsidRPr="00B87E0C" w:rsidRDefault="00B87E0C">
      <w:pPr>
        <w:pStyle w:val="FootnoteText"/>
        <w:rPr>
          <w:rFonts w:ascii="Times New Roman" w:hAnsi="Times New Roman" w:cs="Times New Roman"/>
        </w:rPr>
      </w:pPr>
      <w:r w:rsidRPr="00B87E0C">
        <w:rPr>
          <w:rStyle w:val="FootnoteReference"/>
          <w:rFonts w:ascii="Times New Roman" w:hAnsi="Times New Roman" w:cs="Times New Roman"/>
        </w:rPr>
        <w:footnoteRef/>
      </w:r>
      <w:r w:rsidRPr="00B87E0C">
        <w:rPr>
          <w:rFonts w:ascii="Times New Roman" w:hAnsi="Times New Roman" w:cs="Times New Roman"/>
        </w:rPr>
        <w:t xml:space="preserve"> </w:t>
      </w:r>
      <w:hyperlink r:id="rId17" w:history="1">
        <w:proofErr w:type="spellStart"/>
        <w:r w:rsidRPr="00B87E0C">
          <w:rPr>
            <w:rStyle w:val="Hyperlink"/>
            <w:rFonts w:ascii="Times New Roman" w:hAnsi="Times New Roman" w:cs="Times New Roman"/>
          </w:rPr>
          <w:t>TlnRnk</w:t>
        </w:r>
        <w:r w:rsidR="00971F98">
          <w:rPr>
            <w:rStyle w:val="Hyperlink"/>
            <w:rFonts w:ascii="Times New Roman" w:hAnsi="Times New Roman" w:cs="Times New Roman"/>
          </w:rPr>
          <w:t>o</w:t>
        </w:r>
        <w:proofErr w:type="spellEnd"/>
        <w:r w:rsidRPr="00B87E0C">
          <w:rPr>
            <w:rStyle w:val="Hyperlink"/>
            <w:rFonts w:ascii="Times New Roman" w:hAnsi="Times New Roman" w:cs="Times New Roman"/>
          </w:rPr>
          <w:t xml:space="preserve"> 1-21-4033</w:t>
        </w:r>
      </w:hyperlink>
      <w:r w:rsidRPr="00B87E0C">
        <w:rPr>
          <w:rFonts w:ascii="Times New Roman" w:hAnsi="Times New Roman" w:cs="Times New Roman"/>
        </w:rPr>
        <w:t xml:space="preserve">, </w:t>
      </w:r>
      <w:r w:rsidR="004A1D75">
        <w:rPr>
          <w:rFonts w:ascii="Times New Roman" w:hAnsi="Times New Roman" w:cs="Times New Roman"/>
        </w:rPr>
        <w:t xml:space="preserve">31.05.2024, </w:t>
      </w:r>
      <w:r w:rsidRPr="00B87E0C">
        <w:rPr>
          <w:rFonts w:ascii="Times New Roman" w:hAnsi="Times New Roman" w:cs="Times New Roman"/>
        </w:rPr>
        <w:t>p 226.</w:t>
      </w:r>
    </w:p>
  </w:footnote>
  <w:footnote w:id="20">
    <w:p w14:paraId="1F23060B" w14:textId="538E3E51" w:rsidR="002C5E59" w:rsidRPr="00B87E0C" w:rsidRDefault="002C5E59">
      <w:pPr>
        <w:pStyle w:val="FootnoteText"/>
        <w:rPr>
          <w:rFonts w:ascii="Times New Roman" w:hAnsi="Times New Roman" w:cs="Times New Roman"/>
          <w:lang w:val="da-DK"/>
        </w:rPr>
      </w:pPr>
      <w:r w:rsidRPr="00B87E0C">
        <w:rPr>
          <w:rStyle w:val="FootnoteReference"/>
          <w:rFonts w:ascii="Times New Roman" w:hAnsi="Times New Roman" w:cs="Times New Roman"/>
        </w:rPr>
        <w:footnoteRef/>
      </w:r>
      <w:r w:rsidRPr="00B87E0C">
        <w:rPr>
          <w:rFonts w:ascii="Times New Roman" w:hAnsi="Times New Roman" w:cs="Times New Roman"/>
        </w:rPr>
        <w:t xml:space="preserve"> </w:t>
      </w:r>
      <w:r w:rsidR="008E7172" w:rsidRPr="00B87E0C">
        <w:rPr>
          <w:rFonts w:ascii="Times New Roman" w:hAnsi="Times New Roman" w:cs="Times New Roman"/>
        </w:rPr>
        <w:t>Korruptsioonivastase seaduse muutmise seaduse eelnõu. Seletuskiri,</w:t>
      </w:r>
      <w:r w:rsidRPr="00B87E0C">
        <w:rPr>
          <w:rFonts w:ascii="Times New Roman" w:hAnsi="Times New Roman" w:cs="Times New Roman"/>
          <w:lang w:val="da-DK"/>
        </w:rPr>
        <w:t xml:space="preserve"> </w:t>
      </w:r>
      <w:r w:rsidRPr="00B87E0C">
        <w:rPr>
          <w:rFonts w:ascii="Times New Roman" w:hAnsi="Times New Roman" w:cs="Times New Roman"/>
          <w:lang w:val="da-DK"/>
        </w:rPr>
        <w:t>lk 7.</w:t>
      </w:r>
    </w:p>
  </w:footnote>
  <w:footnote w:id="21">
    <w:p w14:paraId="1A151099" w14:textId="5E7213D3" w:rsidR="00820B61" w:rsidRPr="00B87E0C" w:rsidRDefault="00820B61" w:rsidP="00820B61">
      <w:pPr>
        <w:pStyle w:val="FootnoteText"/>
        <w:rPr>
          <w:rFonts w:ascii="Times New Roman" w:hAnsi="Times New Roman" w:cs="Times New Roman"/>
        </w:rPr>
      </w:pPr>
      <w:r w:rsidRPr="00B87E0C">
        <w:rPr>
          <w:rStyle w:val="FootnoteReference"/>
          <w:rFonts w:ascii="Times New Roman" w:hAnsi="Times New Roman" w:cs="Times New Roman"/>
        </w:rPr>
        <w:footnoteRef/>
      </w:r>
      <w:r w:rsidRPr="00B87E0C">
        <w:rPr>
          <w:rFonts w:ascii="Times New Roman" w:hAnsi="Times New Roman" w:cs="Times New Roman"/>
        </w:rPr>
        <w:t xml:space="preserve"> </w:t>
      </w:r>
      <w:hyperlink r:id="rId18" w:history="1">
        <w:proofErr w:type="spellStart"/>
        <w:r w:rsidRPr="00B87E0C">
          <w:rPr>
            <w:rStyle w:val="Hyperlink"/>
            <w:rFonts w:ascii="Times New Roman" w:hAnsi="Times New Roman" w:cs="Times New Roman"/>
          </w:rPr>
          <w:t>RKÜKo</w:t>
        </w:r>
        <w:proofErr w:type="spellEnd"/>
        <w:r w:rsidRPr="00B87E0C">
          <w:rPr>
            <w:rStyle w:val="Hyperlink"/>
            <w:rFonts w:ascii="Times New Roman" w:hAnsi="Times New Roman" w:cs="Times New Roman"/>
          </w:rPr>
          <w:t xml:space="preserve"> 3-4-1-16-10</w:t>
        </w:r>
      </w:hyperlink>
      <w:r w:rsidRPr="00B87E0C">
        <w:rPr>
          <w:rFonts w:ascii="Times New Roman" w:hAnsi="Times New Roman" w:cs="Times New Roman"/>
        </w:rPr>
        <w:t xml:space="preserve">, </w:t>
      </w:r>
      <w:r w:rsidR="00EB3C3B">
        <w:rPr>
          <w:rFonts w:ascii="Times New Roman" w:hAnsi="Times New Roman" w:cs="Times New Roman"/>
        </w:rPr>
        <w:t xml:space="preserve">21.06.2011, </w:t>
      </w:r>
      <w:r w:rsidRPr="00B87E0C">
        <w:rPr>
          <w:rFonts w:ascii="Times New Roman" w:hAnsi="Times New Roman" w:cs="Times New Roman"/>
        </w:rPr>
        <w:t xml:space="preserve">p 66 ja </w:t>
      </w:r>
      <w:hyperlink r:id="rId19" w:history="1">
        <w:proofErr w:type="spellStart"/>
        <w:r w:rsidRPr="00B87E0C">
          <w:rPr>
            <w:rStyle w:val="Hyperlink"/>
            <w:rFonts w:ascii="Times New Roman" w:hAnsi="Times New Roman" w:cs="Times New Roman"/>
          </w:rPr>
          <w:t>RKKKo</w:t>
        </w:r>
        <w:proofErr w:type="spellEnd"/>
        <w:r w:rsidRPr="00B87E0C">
          <w:rPr>
            <w:rStyle w:val="Hyperlink"/>
            <w:rFonts w:ascii="Times New Roman" w:hAnsi="Times New Roman" w:cs="Times New Roman"/>
          </w:rPr>
          <w:t xml:space="preserve"> 3-1-1-65-16</w:t>
        </w:r>
      </w:hyperlink>
      <w:r w:rsidRPr="00B87E0C">
        <w:rPr>
          <w:rFonts w:ascii="Times New Roman" w:hAnsi="Times New Roman" w:cs="Times New Roman"/>
        </w:rPr>
        <w:t xml:space="preserve">, </w:t>
      </w:r>
      <w:r w:rsidR="00EB3C3B">
        <w:rPr>
          <w:rFonts w:ascii="Times New Roman" w:hAnsi="Times New Roman" w:cs="Times New Roman"/>
        </w:rPr>
        <w:t xml:space="preserve">12.10.2016, </w:t>
      </w:r>
      <w:r w:rsidRPr="00B87E0C">
        <w:rPr>
          <w:rFonts w:ascii="Times New Roman" w:hAnsi="Times New Roman" w:cs="Times New Roman"/>
        </w:rPr>
        <w:t>p 16.</w:t>
      </w:r>
    </w:p>
  </w:footnote>
  <w:footnote w:id="22">
    <w:p w14:paraId="733BFA2D" w14:textId="69C60EB2" w:rsidR="008F2E3F" w:rsidRPr="00AD7CD9" w:rsidRDefault="008F2E3F">
      <w:pPr>
        <w:pStyle w:val="FootnoteText"/>
        <w:rPr>
          <w:rFonts w:ascii="Times New Roman" w:hAnsi="Times New Roman" w:cs="Times New Roman"/>
        </w:rPr>
      </w:pPr>
      <w:r w:rsidRPr="00B87E0C">
        <w:rPr>
          <w:rStyle w:val="FootnoteReference"/>
          <w:rFonts w:ascii="Times New Roman" w:hAnsi="Times New Roman" w:cs="Times New Roman"/>
        </w:rPr>
        <w:footnoteRef/>
      </w:r>
      <w:r w:rsidRPr="00B87E0C">
        <w:rPr>
          <w:rFonts w:ascii="Times New Roman" w:hAnsi="Times New Roman" w:cs="Times New Roman"/>
        </w:rPr>
        <w:t xml:space="preserve"> </w:t>
      </w:r>
      <w:hyperlink r:id="rId20" w:history="1">
        <w:proofErr w:type="spellStart"/>
        <w:r w:rsidR="002A4F33" w:rsidRPr="00B87E0C">
          <w:rPr>
            <w:rStyle w:val="Hyperlink"/>
            <w:rFonts w:ascii="Times New Roman" w:hAnsi="Times New Roman" w:cs="Times New Roman"/>
          </w:rPr>
          <w:t>TlnRnk</w:t>
        </w:r>
        <w:r w:rsidR="00FD348C">
          <w:rPr>
            <w:rStyle w:val="Hyperlink"/>
            <w:rFonts w:ascii="Times New Roman" w:hAnsi="Times New Roman" w:cs="Times New Roman"/>
          </w:rPr>
          <w:t>o</w:t>
        </w:r>
        <w:proofErr w:type="spellEnd"/>
        <w:r w:rsidR="002A4F33" w:rsidRPr="00B87E0C">
          <w:rPr>
            <w:rStyle w:val="Hyperlink"/>
            <w:rFonts w:ascii="Times New Roman" w:hAnsi="Times New Roman" w:cs="Times New Roman"/>
          </w:rPr>
          <w:t xml:space="preserve"> 1-21-4033</w:t>
        </w:r>
      </w:hyperlink>
      <w:r w:rsidRPr="00B87E0C">
        <w:rPr>
          <w:rFonts w:ascii="Times New Roman" w:hAnsi="Times New Roman" w:cs="Times New Roman"/>
          <w:lang w:val="da-DK"/>
        </w:rPr>
        <w:t xml:space="preserve">, </w:t>
      </w:r>
      <w:r w:rsidR="00D17F37">
        <w:rPr>
          <w:rFonts w:ascii="Times New Roman" w:hAnsi="Times New Roman" w:cs="Times New Roman"/>
          <w:lang w:val="da-DK"/>
        </w:rPr>
        <w:t>31.05.2024</w:t>
      </w:r>
      <w:r w:rsidR="00270FAC">
        <w:rPr>
          <w:rFonts w:ascii="Times New Roman" w:hAnsi="Times New Roman" w:cs="Times New Roman"/>
          <w:lang w:val="da-DK"/>
        </w:rPr>
        <w:t xml:space="preserve">, </w:t>
      </w:r>
      <w:r w:rsidRPr="00B87E0C">
        <w:rPr>
          <w:rFonts w:ascii="Times New Roman" w:hAnsi="Times New Roman" w:cs="Times New Roman"/>
          <w:lang w:val="da-DK"/>
        </w:rPr>
        <w:t xml:space="preserve">p </w:t>
      </w:r>
      <w:r w:rsidRPr="00B87E0C">
        <w:rPr>
          <w:rFonts w:ascii="Times New Roman" w:hAnsi="Times New Roman" w:cs="Times New Roman"/>
        </w:rPr>
        <w:t>228.</w:t>
      </w:r>
    </w:p>
  </w:footnote>
  <w:footnote w:id="23">
    <w:p w14:paraId="2361AA58" w14:textId="1FF52F9D" w:rsidR="00F65EF1" w:rsidRPr="00AD7CD9" w:rsidRDefault="00F65EF1">
      <w:pPr>
        <w:pStyle w:val="FootnoteText"/>
        <w:rPr>
          <w:rFonts w:ascii="Times New Roman" w:hAnsi="Times New Roman" w:cs="Times New Roman"/>
          <w:lang w:val="da-DK"/>
        </w:rPr>
      </w:pPr>
      <w:r w:rsidRPr="00A45C9F">
        <w:rPr>
          <w:rStyle w:val="FootnoteReference"/>
          <w:rFonts w:ascii="Times New Roman" w:hAnsi="Times New Roman" w:cs="Times New Roman"/>
          <w:sz w:val="18"/>
          <w:szCs w:val="18"/>
        </w:rPr>
        <w:footnoteRef/>
      </w:r>
      <w:r w:rsidR="00971F98" w:rsidRPr="00971F98">
        <w:rPr>
          <w:rFonts w:ascii="Times New Roman" w:hAnsi="Times New Roman" w:cs="Times New Roman"/>
          <w:lang w:val="da-DK"/>
        </w:rPr>
        <w:t xml:space="preserve"> </w:t>
      </w:r>
      <w:hyperlink r:id="rId21" w:history="1">
        <w:r w:rsidR="00B84C75">
          <w:rPr>
            <w:rStyle w:val="Hyperlink"/>
            <w:rFonts w:ascii="Times New Roman" w:hAnsi="Times New Roman" w:cs="Times New Roman"/>
            <w:lang w:val="da-DK"/>
          </w:rPr>
          <w:t>TlnRnko 1-20-4858</w:t>
        </w:r>
      </w:hyperlink>
      <w:r w:rsidR="00971F98">
        <w:rPr>
          <w:rFonts w:ascii="Times New Roman" w:hAnsi="Times New Roman" w:cs="Times New Roman"/>
          <w:lang w:val="da-DK"/>
        </w:rPr>
        <w:t xml:space="preserve">, 13.10.2021, </w:t>
      </w:r>
      <w:r w:rsidRPr="00AD7CD9">
        <w:rPr>
          <w:rFonts w:ascii="Times New Roman" w:hAnsi="Times New Roman" w:cs="Times New Roman"/>
          <w:lang w:val="da-DK"/>
        </w:rPr>
        <w:t>p 8.4.</w:t>
      </w:r>
    </w:p>
  </w:footnote>
  <w:footnote w:id="24">
    <w:p w14:paraId="5B1331B5" w14:textId="37F23239" w:rsidR="00FC0EDE" w:rsidRPr="00AD7CD9" w:rsidRDefault="00FC0EDE">
      <w:pPr>
        <w:pStyle w:val="FootnoteText"/>
        <w:rPr>
          <w:rFonts w:ascii="Times New Roman" w:hAnsi="Times New Roman" w:cs="Times New Roman"/>
          <w:lang w:val="en-US"/>
        </w:rPr>
      </w:pPr>
      <w:r w:rsidRPr="00AD7CD9">
        <w:rPr>
          <w:rStyle w:val="FootnoteReference"/>
          <w:rFonts w:ascii="Times New Roman" w:hAnsi="Times New Roman" w:cs="Times New Roman"/>
        </w:rPr>
        <w:footnoteRef/>
      </w:r>
      <w:r w:rsidRPr="00AD7CD9">
        <w:rPr>
          <w:rFonts w:ascii="Times New Roman" w:hAnsi="Times New Roman" w:cs="Times New Roman"/>
        </w:rPr>
        <w:t xml:space="preserve"> </w:t>
      </w:r>
      <w:hyperlink r:id="rId22" w:history="1">
        <w:proofErr w:type="spellStart"/>
        <w:r w:rsidR="00117C31">
          <w:rPr>
            <w:rStyle w:val="Hyperlink"/>
            <w:rFonts w:ascii="Times New Roman" w:hAnsi="Times New Roman" w:cs="Times New Roman"/>
            <w:lang w:val="en-US"/>
          </w:rPr>
          <w:t>RKKKo</w:t>
        </w:r>
        <w:proofErr w:type="spellEnd"/>
        <w:r w:rsidR="00117C31">
          <w:rPr>
            <w:rStyle w:val="Hyperlink"/>
            <w:rFonts w:ascii="Times New Roman" w:hAnsi="Times New Roman" w:cs="Times New Roman"/>
            <w:lang w:val="en-US"/>
          </w:rPr>
          <w:t xml:space="preserve"> 1-22-2637</w:t>
        </w:r>
      </w:hyperlink>
      <w:r w:rsidR="00117C31">
        <w:rPr>
          <w:rFonts w:ascii="Times New Roman" w:hAnsi="Times New Roman" w:cs="Times New Roman"/>
          <w:lang w:val="en-US"/>
        </w:rPr>
        <w:t xml:space="preserve">, 05.12.2025, </w:t>
      </w:r>
      <w:r w:rsidRPr="00AD7CD9">
        <w:rPr>
          <w:rFonts w:ascii="Times New Roman" w:hAnsi="Times New Roman" w:cs="Times New Roman"/>
          <w:lang w:val="en-US"/>
        </w:rPr>
        <w:t>p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0766" w14:textId="77777777" w:rsidR="004946FF" w:rsidRDefault="004946FF" w:rsidP="004946FF">
    <w:pPr>
      <w:pStyle w:val="Header"/>
      <w:jc w:val="center"/>
      <w:rPr>
        <w:position w:val="-35"/>
        <w:sz w:val="20"/>
      </w:rPr>
    </w:pPr>
  </w:p>
  <w:p w14:paraId="0BC8BA2F" w14:textId="77777777" w:rsidR="004946FF" w:rsidRDefault="004946FF" w:rsidP="004946FF">
    <w:pPr>
      <w:pStyle w:val="Header"/>
      <w:jc w:val="center"/>
      <w:rPr>
        <w:sz w:val="36"/>
      </w:rPr>
    </w:pPr>
    <w:r>
      <w:rPr>
        <w:noProof/>
        <w:position w:val="-35"/>
        <w:sz w:val="20"/>
      </w:rPr>
      <w:drawing>
        <wp:inline distT="0" distB="0" distL="0" distR="0" wp14:anchorId="73DC5437" wp14:editId="6697B25F">
          <wp:extent cx="933450" cy="742950"/>
          <wp:effectExtent l="1905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3450" cy="742950"/>
                  </a:xfrm>
                  <a:prstGeom prst="rect">
                    <a:avLst/>
                  </a:prstGeom>
                  <a:noFill/>
                  <a:ln w="9525">
                    <a:noFill/>
                    <a:miter lim="800000"/>
                    <a:headEnd/>
                    <a:tailEnd/>
                  </a:ln>
                </pic:spPr>
              </pic:pic>
            </a:graphicData>
          </a:graphic>
        </wp:inline>
      </w:drawing>
    </w:r>
  </w:p>
  <w:p w14:paraId="2E9B66BB" w14:textId="77777777" w:rsidR="004946FF" w:rsidRPr="002C078E" w:rsidRDefault="004946FF" w:rsidP="004946FF">
    <w:pPr>
      <w:pBdr>
        <w:bottom w:val="single" w:sz="1" w:space="1" w:color="000000"/>
      </w:pBdr>
      <w:jc w:val="center"/>
      <w:rPr>
        <w:sz w:val="36"/>
        <w:szCs w:val="36"/>
      </w:rPr>
    </w:pPr>
    <w:r w:rsidRPr="002C078E">
      <w:rPr>
        <w:sz w:val="36"/>
        <w:szCs w:val="36"/>
      </w:rPr>
      <w:t>EESTI ADVOKATUUR</w:t>
    </w:r>
  </w:p>
  <w:p w14:paraId="6DDB8F8E" w14:textId="68B4C156" w:rsidR="0038283A" w:rsidRDefault="0038283A" w:rsidP="0038283A">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7998"/>
    <w:multiLevelType w:val="hybridMultilevel"/>
    <w:tmpl w:val="B2620B30"/>
    <w:lvl w:ilvl="0" w:tplc="D9CAA52A">
      <w:start w:val="3"/>
      <w:numFmt w:val="bullet"/>
      <w:lvlText w:val="-"/>
      <w:lvlJc w:val="left"/>
      <w:pPr>
        <w:ind w:left="720" w:hanging="360"/>
      </w:pPr>
      <w:rPr>
        <w:rFonts w:ascii="Times New Roman" w:eastAsia="HG Mincho Light J"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2FF6915"/>
    <w:multiLevelType w:val="hybridMultilevel"/>
    <w:tmpl w:val="C9AEA744"/>
    <w:lvl w:ilvl="0" w:tplc="2A2C374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6E436DF"/>
    <w:multiLevelType w:val="hybridMultilevel"/>
    <w:tmpl w:val="6A28FFD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C0B5D23"/>
    <w:multiLevelType w:val="hybridMultilevel"/>
    <w:tmpl w:val="5B483AAC"/>
    <w:lvl w:ilvl="0" w:tplc="1ECA6ADE">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28687826">
    <w:abstractNumId w:val="1"/>
  </w:num>
  <w:num w:numId="2" w16cid:durableId="1318654132">
    <w:abstractNumId w:val="3"/>
  </w:num>
  <w:num w:numId="3" w16cid:durableId="933199182">
    <w:abstractNumId w:val="0"/>
  </w:num>
  <w:num w:numId="4" w16cid:durableId="166882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01FB5"/>
    <w:rsid w:val="000040E7"/>
    <w:rsid w:val="00023C71"/>
    <w:rsid w:val="000253B2"/>
    <w:rsid w:val="00026648"/>
    <w:rsid w:val="000345A2"/>
    <w:rsid w:val="000359CD"/>
    <w:rsid w:val="00044487"/>
    <w:rsid w:val="00046ADB"/>
    <w:rsid w:val="00046D73"/>
    <w:rsid w:val="0006282E"/>
    <w:rsid w:val="0006450F"/>
    <w:rsid w:val="00070C77"/>
    <w:rsid w:val="000769CC"/>
    <w:rsid w:val="00091EB5"/>
    <w:rsid w:val="00095AD0"/>
    <w:rsid w:val="00096B43"/>
    <w:rsid w:val="000A20DF"/>
    <w:rsid w:val="000A2F30"/>
    <w:rsid w:val="000A52EB"/>
    <w:rsid w:val="000A7247"/>
    <w:rsid w:val="000A74AD"/>
    <w:rsid w:val="000B1B7F"/>
    <w:rsid w:val="000B7909"/>
    <w:rsid w:val="000C0A09"/>
    <w:rsid w:val="000C2D65"/>
    <w:rsid w:val="000C38F2"/>
    <w:rsid w:val="000C6947"/>
    <w:rsid w:val="000D6465"/>
    <w:rsid w:val="000E2FE1"/>
    <w:rsid w:val="000E519C"/>
    <w:rsid w:val="000E5972"/>
    <w:rsid w:val="00100290"/>
    <w:rsid w:val="00100377"/>
    <w:rsid w:val="00102770"/>
    <w:rsid w:val="001050DF"/>
    <w:rsid w:val="00110350"/>
    <w:rsid w:val="001158C6"/>
    <w:rsid w:val="00117B0A"/>
    <w:rsid w:val="00117C31"/>
    <w:rsid w:val="001208CD"/>
    <w:rsid w:val="00121380"/>
    <w:rsid w:val="00122323"/>
    <w:rsid w:val="00125DD5"/>
    <w:rsid w:val="0012689E"/>
    <w:rsid w:val="00130A2F"/>
    <w:rsid w:val="00130B66"/>
    <w:rsid w:val="00134CE8"/>
    <w:rsid w:val="001403D0"/>
    <w:rsid w:val="00143C5B"/>
    <w:rsid w:val="00151EC5"/>
    <w:rsid w:val="001532C7"/>
    <w:rsid w:val="00154161"/>
    <w:rsid w:val="001634C1"/>
    <w:rsid w:val="001673B1"/>
    <w:rsid w:val="00170E7C"/>
    <w:rsid w:val="00171D1E"/>
    <w:rsid w:val="001769DF"/>
    <w:rsid w:val="00180CD9"/>
    <w:rsid w:val="0018375B"/>
    <w:rsid w:val="001841AD"/>
    <w:rsid w:val="00193462"/>
    <w:rsid w:val="001971B4"/>
    <w:rsid w:val="001A2175"/>
    <w:rsid w:val="001A2C95"/>
    <w:rsid w:val="001A3077"/>
    <w:rsid w:val="001B0802"/>
    <w:rsid w:val="001B550F"/>
    <w:rsid w:val="001C26BE"/>
    <w:rsid w:val="001C33C7"/>
    <w:rsid w:val="001C3E91"/>
    <w:rsid w:val="001C47B6"/>
    <w:rsid w:val="001C5387"/>
    <w:rsid w:val="001D024A"/>
    <w:rsid w:val="001E157C"/>
    <w:rsid w:val="001E70B1"/>
    <w:rsid w:val="001F19D4"/>
    <w:rsid w:val="00206C3C"/>
    <w:rsid w:val="00207870"/>
    <w:rsid w:val="00207A9D"/>
    <w:rsid w:val="00207F6F"/>
    <w:rsid w:val="0021034C"/>
    <w:rsid w:val="00211185"/>
    <w:rsid w:val="00212A52"/>
    <w:rsid w:val="00213922"/>
    <w:rsid w:val="002258E1"/>
    <w:rsid w:val="0023555C"/>
    <w:rsid w:val="00240D3C"/>
    <w:rsid w:val="0024366C"/>
    <w:rsid w:val="0024413F"/>
    <w:rsid w:val="00252F21"/>
    <w:rsid w:val="0025512D"/>
    <w:rsid w:val="002557C8"/>
    <w:rsid w:val="002677F8"/>
    <w:rsid w:val="00270FAC"/>
    <w:rsid w:val="002744CF"/>
    <w:rsid w:val="00277496"/>
    <w:rsid w:val="00281A94"/>
    <w:rsid w:val="00283F06"/>
    <w:rsid w:val="00286E29"/>
    <w:rsid w:val="00287682"/>
    <w:rsid w:val="00294127"/>
    <w:rsid w:val="002A2DC1"/>
    <w:rsid w:val="002A4F33"/>
    <w:rsid w:val="002A7530"/>
    <w:rsid w:val="002C5E59"/>
    <w:rsid w:val="002C65E7"/>
    <w:rsid w:val="002C7008"/>
    <w:rsid w:val="002D1AB3"/>
    <w:rsid w:val="002D1CC0"/>
    <w:rsid w:val="002D5109"/>
    <w:rsid w:val="002E36E1"/>
    <w:rsid w:val="002E58BF"/>
    <w:rsid w:val="002E7C7E"/>
    <w:rsid w:val="0030240D"/>
    <w:rsid w:val="00311561"/>
    <w:rsid w:val="00315D7C"/>
    <w:rsid w:val="00316F56"/>
    <w:rsid w:val="003403F2"/>
    <w:rsid w:val="003650B8"/>
    <w:rsid w:val="00365D64"/>
    <w:rsid w:val="00367F68"/>
    <w:rsid w:val="0037128B"/>
    <w:rsid w:val="00375FF3"/>
    <w:rsid w:val="0038283A"/>
    <w:rsid w:val="00391662"/>
    <w:rsid w:val="00396A55"/>
    <w:rsid w:val="003A0DF1"/>
    <w:rsid w:val="003A31F4"/>
    <w:rsid w:val="003A498C"/>
    <w:rsid w:val="003A79EC"/>
    <w:rsid w:val="003B1396"/>
    <w:rsid w:val="003B2039"/>
    <w:rsid w:val="003B5DB0"/>
    <w:rsid w:val="003B7D68"/>
    <w:rsid w:val="003C36B7"/>
    <w:rsid w:val="003C400E"/>
    <w:rsid w:val="003C5C44"/>
    <w:rsid w:val="003C5F60"/>
    <w:rsid w:val="003D7DFB"/>
    <w:rsid w:val="003E0F02"/>
    <w:rsid w:val="003F2C57"/>
    <w:rsid w:val="003F3223"/>
    <w:rsid w:val="003F36B6"/>
    <w:rsid w:val="00400F19"/>
    <w:rsid w:val="00421136"/>
    <w:rsid w:val="00437F27"/>
    <w:rsid w:val="004415ED"/>
    <w:rsid w:val="004426A4"/>
    <w:rsid w:val="00447160"/>
    <w:rsid w:val="00450C77"/>
    <w:rsid w:val="004511EF"/>
    <w:rsid w:val="00463149"/>
    <w:rsid w:val="00466321"/>
    <w:rsid w:val="0046716D"/>
    <w:rsid w:val="00474EAC"/>
    <w:rsid w:val="00475796"/>
    <w:rsid w:val="0047762A"/>
    <w:rsid w:val="004931F6"/>
    <w:rsid w:val="00493A24"/>
    <w:rsid w:val="004946FF"/>
    <w:rsid w:val="0049CDE2"/>
    <w:rsid w:val="004A0C7E"/>
    <w:rsid w:val="004A1D75"/>
    <w:rsid w:val="004A3179"/>
    <w:rsid w:val="004A395B"/>
    <w:rsid w:val="004A43BD"/>
    <w:rsid w:val="004A79AB"/>
    <w:rsid w:val="004B770E"/>
    <w:rsid w:val="004C4851"/>
    <w:rsid w:val="004C5264"/>
    <w:rsid w:val="004C6D7E"/>
    <w:rsid w:val="004C72F3"/>
    <w:rsid w:val="004D3D07"/>
    <w:rsid w:val="004D4E40"/>
    <w:rsid w:val="004D5306"/>
    <w:rsid w:val="004D5FA9"/>
    <w:rsid w:val="004D619B"/>
    <w:rsid w:val="004E507D"/>
    <w:rsid w:val="004E6AFA"/>
    <w:rsid w:val="004F0BBC"/>
    <w:rsid w:val="004F0C35"/>
    <w:rsid w:val="004F1568"/>
    <w:rsid w:val="004F17D0"/>
    <w:rsid w:val="004F2604"/>
    <w:rsid w:val="004F4B91"/>
    <w:rsid w:val="0050166A"/>
    <w:rsid w:val="0050345A"/>
    <w:rsid w:val="00505064"/>
    <w:rsid w:val="00507AE5"/>
    <w:rsid w:val="00515011"/>
    <w:rsid w:val="005153AE"/>
    <w:rsid w:val="005207B7"/>
    <w:rsid w:val="00520884"/>
    <w:rsid w:val="00520C90"/>
    <w:rsid w:val="00522F5F"/>
    <w:rsid w:val="00525324"/>
    <w:rsid w:val="00525F21"/>
    <w:rsid w:val="00530D4D"/>
    <w:rsid w:val="00531D0F"/>
    <w:rsid w:val="00535589"/>
    <w:rsid w:val="00542246"/>
    <w:rsid w:val="005448F8"/>
    <w:rsid w:val="00545B2D"/>
    <w:rsid w:val="00567F65"/>
    <w:rsid w:val="005744CD"/>
    <w:rsid w:val="00584119"/>
    <w:rsid w:val="005879E5"/>
    <w:rsid w:val="00587B9D"/>
    <w:rsid w:val="0059162E"/>
    <w:rsid w:val="005A227E"/>
    <w:rsid w:val="005A5690"/>
    <w:rsid w:val="005A5FFA"/>
    <w:rsid w:val="005B2241"/>
    <w:rsid w:val="005B56C4"/>
    <w:rsid w:val="005B7214"/>
    <w:rsid w:val="005C0F99"/>
    <w:rsid w:val="005C2E66"/>
    <w:rsid w:val="005C45C3"/>
    <w:rsid w:val="005C5A4A"/>
    <w:rsid w:val="005C6BA5"/>
    <w:rsid w:val="005D473F"/>
    <w:rsid w:val="005E16BF"/>
    <w:rsid w:val="005E7257"/>
    <w:rsid w:val="005F04B9"/>
    <w:rsid w:val="005F0E9E"/>
    <w:rsid w:val="005F4486"/>
    <w:rsid w:val="006021FB"/>
    <w:rsid w:val="0060271C"/>
    <w:rsid w:val="0060534F"/>
    <w:rsid w:val="0060786C"/>
    <w:rsid w:val="00612C73"/>
    <w:rsid w:val="00620A6B"/>
    <w:rsid w:val="0062171C"/>
    <w:rsid w:val="00626263"/>
    <w:rsid w:val="0063102C"/>
    <w:rsid w:val="006341B7"/>
    <w:rsid w:val="006512BC"/>
    <w:rsid w:val="0065317B"/>
    <w:rsid w:val="00655DE6"/>
    <w:rsid w:val="00660F73"/>
    <w:rsid w:val="00664190"/>
    <w:rsid w:val="00671BD1"/>
    <w:rsid w:val="00684C55"/>
    <w:rsid w:val="006852D6"/>
    <w:rsid w:val="006926AE"/>
    <w:rsid w:val="006946F5"/>
    <w:rsid w:val="006A3D0D"/>
    <w:rsid w:val="006A75FC"/>
    <w:rsid w:val="006B4427"/>
    <w:rsid w:val="006C22FA"/>
    <w:rsid w:val="006C4C97"/>
    <w:rsid w:val="006D5F1B"/>
    <w:rsid w:val="006D6318"/>
    <w:rsid w:val="006E1744"/>
    <w:rsid w:val="006E268D"/>
    <w:rsid w:val="006E36A8"/>
    <w:rsid w:val="006F27EA"/>
    <w:rsid w:val="007010B9"/>
    <w:rsid w:val="00701CD5"/>
    <w:rsid w:val="007070AB"/>
    <w:rsid w:val="00712265"/>
    <w:rsid w:val="00713E28"/>
    <w:rsid w:val="00714D72"/>
    <w:rsid w:val="00720D0E"/>
    <w:rsid w:val="007248E5"/>
    <w:rsid w:val="00726D3F"/>
    <w:rsid w:val="0073166C"/>
    <w:rsid w:val="00731CE9"/>
    <w:rsid w:val="007334D6"/>
    <w:rsid w:val="00737420"/>
    <w:rsid w:val="00740FD1"/>
    <w:rsid w:val="007463BF"/>
    <w:rsid w:val="00751F0A"/>
    <w:rsid w:val="007520B7"/>
    <w:rsid w:val="00752DFB"/>
    <w:rsid w:val="00757CCA"/>
    <w:rsid w:val="007638FD"/>
    <w:rsid w:val="00764C0D"/>
    <w:rsid w:val="007874A4"/>
    <w:rsid w:val="0079733D"/>
    <w:rsid w:val="007A1573"/>
    <w:rsid w:val="007A3458"/>
    <w:rsid w:val="007A3F3B"/>
    <w:rsid w:val="007A483D"/>
    <w:rsid w:val="007B2E67"/>
    <w:rsid w:val="007B40BB"/>
    <w:rsid w:val="007B6251"/>
    <w:rsid w:val="007C4E8D"/>
    <w:rsid w:val="007C672F"/>
    <w:rsid w:val="007D1FC1"/>
    <w:rsid w:val="007D55D0"/>
    <w:rsid w:val="007D6DD1"/>
    <w:rsid w:val="007E1E8A"/>
    <w:rsid w:val="007E3CF7"/>
    <w:rsid w:val="007E4DC0"/>
    <w:rsid w:val="007E7395"/>
    <w:rsid w:val="007F5C05"/>
    <w:rsid w:val="007F655D"/>
    <w:rsid w:val="007F66D6"/>
    <w:rsid w:val="008020A9"/>
    <w:rsid w:val="00803FC5"/>
    <w:rsid w:val="00810AAD"/>
    <w:rsid w:val="00811946"/>
    <w:rsid w:val="00811DF9"/>
    <w:rsid w:val="00813DD6"/>
    <w:rsid w:val="00816C90"/>
    <w:rsid w:val="0081717B"/>
    <w:rsid w:val="00820B61"/>
    <w:rsid w:val="0082619D"/>
    <w:rsid w:val="00833EF8"/>
    <w:rsid w:val="00834CE7"/>
    <w:rsid w:val="0083607D"/>
    <w:rsid w:val="008461CC"/>
    <w:rsid w:val="00853874"/>
    <w:rsid w:val="00856C34"/>
    <w:rsid w:val="00857114"/>
    <w:rsid w:val="00857FF9"/>
    <w:rsid w:val="00863E0D"/>
    <w:rsid w:val="008657EC"/>
    <w:rsid w:val="00865EE7"/>
    <w:rsid w:val="00866A12"/>
    <w:rsid w:val="00866E49"/>
    <w:rsid w:val="008717E1"/>
    <w:rsid w:val="00871F1E"/>
    <w:rsid w:val="00874D29"/>
    <w:rsid w:val="00892544"/>
    <w:rsid w:val="00895C67"/>
    <w:rsid w:val="008A5914"/>
    <w:rsid w:val="008B1CDE"/>
    <w:rsid w:val="008B275E"/>
    <w:rsid w:val="008B44AA"/>
    <w:rsid w:val="008B4C05"/>
    <w:rsid w:val="008B62AD"/>
    <w:rsid w:val="008B7AC9"/>
    <w:rsid w:val="008C0E16"/>
    <w:rsid w:val="008C1B5F"/>
    <w:rsid w:val="008C4FD3"/>
    <w:rsid w:val="008D0F87"/>
    <w:rsid w:val="008E7172"/>
    <w:rsid w:val="008E7E55"/>
    <w:rsid w:val="008F2E3F"/>
    <w:rsid w:val="008F55C5"/>
    <w:rsid w:val="008F7A38"/>
    <w:rsid w:val="00901646"/>
    <w:rsid w:val="00902DA5"/>
    <w:rsid w:val="00911E5E"/>
    <w:rsid w:val="0091669D"/>
    <w:rsid w:val="009201A0"/>
    <w:rsid w:val="00921FC6"/>
    <w:rsid w:val="00924834"/>
    <w:rsid w:val="00926522"/>
    <w:rsid w:val="00931D06"/>
    <w:rsid w:val="00933932"/>
    <w:rsid w:val="009467EA"/>
    <w:rsid w:val="00960BB7"/>
    <w:rsid w:val="00967891"/>
    <w:rsid w:val="00970944"/>
    <w:rsid w:val="00971F98"/>
    <w:rsid w:val="009837B6"/>
    <w:rsid w:val="009844B6"/>
    <w:rsid w:val="009855AD"/>
    <w:rsid w:val="00990793"/>
    <w:rsid w:val="00990DCA"/>
    <w:rsid w:val="009A2B54"/>
    <w:rsid w:val="009A4BEE"/>
    <w:rsid w:val="009A6B51"/>
    <w:rsid w:val="009B139B"/>
    <w:rsid w:val="009B1A4B"/>
    <w:rsid w:val="009B1F9D"/>
    <w:rsid w:val="009C4FF8"/>
    <w:rsid w:val="009D1093"/>
    <w:rsid w:val="009D657C"/>
    <w:rsid w:val="009E1AB4"/>
    <w:rsid w:val="009E4709"/>
    <w:rsid w:val="009E589C"/>
    <w:rsid w:val="009E78AD"/>
    <w:rsid w:val="009F03A3"/>
    <w:rsid w:val="009F1AFE"/>
    <w:rsid w:val="009F2FAE"/>
    <w:rsid w:val="00A02DBC"/>
    <w:rsid w:val="00A05A33"/>
    <w:rsid w:val="00A06662"/>
    <w:rsid w:val="00A15F27"/>
    <w:rsid w:val="00A17313"/>
    <w:rsid w:val="00A21205"/>
    <w:rsid w:val="00A2667C"/>
    <w:rsid w:val="00A33A7D"/>
    <w:rsid w:val="00A341C2"/>
    <w:rsid w:val="00A379A7"/>
    <w:rsid w:val="00A41832"/>
    <w:rsid w:val="00A43A5D"/>
    <w:rsid w:val="00A45C9F"/>
    <w:rsid w:val="00A51053"/>
    <w:rsid w:val="00A670E0"/>
    <w:rsid w:val="00A72840"/>
    <w:rsid w:val="00A91F6D"/>
    <w:rsid w:val="00A931F9"/>
    <w:rsid w:val="00A935AD"/>
    <w:rsid w:val="00A95B88"/>
    <w:rsid w:val="00AA1E09"/>
    <w:rsid w:val="00AA455E"/>
    <w:rsid w:val="00AB1A2D"/>
    <w:rsid w:val="00AC233E"/>
    <w:rsid w:val="00AD1AB8"/>
    <w:rsid w:val="00AD7CD9"/>
    <w:rsid w:val="00AD7EB6"/>
    <w:rsid w:val="00AE2115"/>
    <w:rsid w:val="00AE305A"/>
    <w:rsid w:val="00AF0275"/>
    <w:rsid w:val="00AF100C"/>
    <w:rsid w:val="00AF16F1"/>
    <w:rsid w:val="00AF44DC"/>
    <w:rsid w:val="00B0027D"/>
    <w:rsid w:val="00B0103F"/>
    <w:rsid w:val="00B17FCB"/>
    <w:rsid w:val="00B253FE"/>
    <w:rsid w:val="00B256BF"/>
    <w:rsid w:val="00B25797"/>
    <w:rsid w:val="00B30652"/>
    <w:rsid w:val="00B31D0A"/>
    <w:rsid w:val="00B33953"/>
    <w:rsid w:val="00B437B5"/>
    <w:rsid w:val="00B45A35"/>
    <w:rsid w:val="00B52D1B"/>
    <w:rsid w:val="00B53772"/>
    <w:rsid w:val="00B557B6"/>
    <w:rsid w:val="00B57BDD"/>
    <w:rsid w:val="00B638B1"/>
    <w:rsid w:val="00B66343"/>
    <w:rsid w:val="00B7663A"/>
    <w:rsid w:val="00B76CB7"/>
    <w:rsid w:val="00B774D1"/>
    <w:rsid w:val="00B81C29"/>
    <w:rsid w:val="00B846A5"/>
    <w:rsid w:val="00B84C75"/>
    <w:rsid w:val="00B87E0C"/>
    <w:rsid w:val="00BA0FFC"/>
    <w:rsid w:val="00BA3678"/>
    <w:rsid w:val="00BB2C9A"/>
    <w:rsid w:val="00BB5046"/>
    <w:rsid w:val="00BC00D3"/>
    <w:rsid w:val="00BC10EE"/>
    <w:rsid w:val="00BC413A"/>
    <w:rsid w:val="00BD0D8C"/>
    <w:rsid w:val="00BE0B9A"/>
    <w:rsid w:val="00BE224D"/>
    <w:rsid w:val="00BE3945"/>
    <w:rsid w:val="00BE48D4"/>
    <w:rsid w:val="00C03DF0"/>
    <w:rsid w:val="00C0480E"/>
    <w:rsid w:val="00C1489C"/>
    <w:rsid w:val="00C15046"/>
    <w:rsid w:val="00C22308"/>
    <w:rsid w:val="00C24871"/>
    <w:rsid w:val="00C249A3"/>
    <w:rsid w:val="00C314A4"/>
    <w:rsid w:val="00C31603"/>
    <w:rsid w:val="00C352A2"/>
    <w:rsid w:val="00C35334"/>
    <w:rsid w:val="00C373DE"/>
    <w:rsid w:val="00C3746D"/>
    <w:rsid w:val="00C37E43"/>
    <w:rsid w:val="00C412CE"/>
    <w:rsid w:val="00C423C0"/>
    <w:rsid w:val="00C44FD7"/>
    <w:rsid w:val="00C461BE"/>
    <w:rsid w:val="00C50198"/>
    <w:rsid w:val="00C55032"/>
    <w:rsid w:val="00C56285"/>
    <w:rsid w:val="00C6682C"/>
    <w:rsid w:val="00C73FCB"/>
    <w:rsid w:val="00C77BEA"/>
    <w:rsid w:val="00C813A0"/>
    <w:rsid w:val="00C851CA"/>
    <w:rsid w:val="00CA17E1"/>
    <w:rsid w:val="00CA48A9"/>
    <w:rsid w:val="00CC0F5C"/>
    <w:rsid w:val="00CC43F5"/>
    <w:rsid w:val="00CC4E74"/>
    <w:rsid w:val="00CC616A"/>
    <w:rsid w:val="00CD3C55"/>
    <w:rsid w:val="00CD52EC"/>
    <w:rsid w:val="00CE512E"/>
    <w:rsid w:val="00CF6F76"/>
    <w:rsid w:val="00D00BA7"/>
    <w:rsid w:val="00D0533B"/>
    <w:rsid w:val="00D117E9"/>
    <w:rsid w:val="00D13913"/>
    <w:rsid w:val="00D13CEE"/>
    <w:rsid w:val="00D17374"/>
    <w:rsid w:val="00D17F37"/>
    <w:rsid w:val="00D2215A"/>
    <w:rsid w:val="00D238EF"/>
    <w:rsid w:val="00D24C3B"/>
    <w:rsid w:val="00D31A7E"/>
    <w:rsid w:val="00D35016"/>
    <w:rsid w:val="00D4398E"/>
    <w:rsid w:val="00D50ACD"/>
    <w:rsid w:val="00D634C5"/>
    <w:rsid w:val="00D663B1"/>
    <w:rsid w:val="00D72BBF"/>
    <w:rsid w:val="00D72F2B"/>
    <w:rsid w:val="00D7480F"/>
    <w:rsid w:val="00D8294B"/>
    <w:rsid w:val="00D8523F"/>
    <w:rsid w:val="00D97E9B"/>
    <w:rsid w:val="00DA259E"/>
    <w:rsid w:val="00DA445F"/>
    <w:rsid w:val="00DB2356"/>
    <w:rsid w:val="00DB41E1"/>
    <w:rsid w:val="00DB488B"/>
    <w:rsid w:val="00DB5D5E"/>
    <w:rsid w:val="00DC1128"/>
    <w:rsid w:val="00DC1A31"/>
    <w:rsid w:val="00DC1BE4"/>
    <w:rsid w:val="00DC7770"/>
    <w:rsid w:val="00DD2E40"/>
    <w:rsid w:val="00DD7236"/>
    <w:rsid w:val="00DE1844"/>
    <w:rsid w:val="00DE5873"/>
    <w:rsid w:val="00DF44B6"/>
    <w:rsid w:val="00E00BAC"/>
    <w:rsid w:val="00E1319B"/>
    <w:rsid w:val="00E17F60"/>
    <w:rsid w:val="00E2297D"/>
    <w:rsid w:val="00E24B8F"/>
    <w:rsid w:val="00E263F1"/>
    <w:rsid w:val="00E31760"/>
    <w:rsid w:val="00E323FE"/>
    <w:rsid w:val="00E34949"/>
    <w:rsid w:val="00E357D0"/>
    <w:rsid w:val="00E35FB3"/>
    <w:rsid w:val="00E54AE2"/>
    <w:rsid w:val="00E54AE3"/>
    <w:rsid w:val="00E54D4C"/>
    <w:rsid w:val="00E61712"/>
    <w:rsid w:val="00E6231E"/>
    <w:rsid w:val="00E64697"/>
    <w:rsid w:val="00E729E7"/>
    <w:rsid w:val="00E74650"/>
    <w:rsid w:val="00E75559"/>
    <w:rsid w:val="00E7702D"/>
    <w:rsid w:val="00E84DA0"/>
    <w:rsid w:val="00E85610"/>
    <w:rsid w:val="00E90B53"/>
    <w:rsid w:val="00E90E01"/>
    <w:rsid w:val="00E92963"/>
    <w:rsid w:val="00E96721"/>
    <w:rsid w:val="00E96FAE"/>
    <w:rsid w:val="00EB07EB"/>
    <w:rsid w:val="00EB1E68"/>
    <w:rsid w:val="00EB3C3B"/>
    <w:rsid w:val="00EC64BB"/>
    <w:rsid w:val="00ED3AFB"/>
    <w:rsid w:val="00F200FA"/>
    <w:rsid w:val="00F22609"/>
    <w:rsid w:val="00F27142"/>
    <w:rsid w:val="00F31814"/>
    <w:rsid w:val="00F411B0"/>
    <w:rsid w:val="00F60DA1"/>
    <w:rsid w:val="00F618F3"/>
    <w:rsid w:val="00F61E24"/>
    <w:rsid w:val="00F620B6"/>
    <w:rsid w:val="00F636B5"/>
    <w:rsid w:val="00F636C2"/>
    <w:rsid w:val="00F65EF1"/>
    <w:rsid w:val="00F72F82"/>
    <w:rsid w:val="00F7685D"/>
    <w:rsid w:val="00F76E8B"/>
    <w:rsid w:val="00F77979"/>
    <w:rsid w:val="00F81A69"/>
    <w:rsid w:val="00F826FB"/>
    <w:rsid w:val="00F82C15"/>
    <w:rsid w:val="00F8753C"/>
    <w:rsid w:val="00F91725"/>
    <w:rsid w:val="00F957E5"/>
    <w:rsid w:val="00FA16BD"/>
    <w:rsid w:val="00FA197D"/>
    <w:rsid w:val="00FA4927"/>
    <w:rsid w:val="00FA74B8"/>
    <w:rsid w:val="00FC0EDE"/>
    <w:rsid w:val="00FC1342"/>
    <w:rsid w:val="00FC3D19"/>
    <w:rsid w:val="00FC3F86"/>
    <w:rsid w:val="00FD2CAC"/>
    <w:rsid w:val="00FD348C"/>
    <w:rsid w:val="00FD435D"/>
    <w:rsid w:val="00FE3CF8"/>
    <w:rsid w:val="00FE7F2E"/>
    <w:rsid w:val="00FF5A4D"/>
    <w:rsid w:val="00FF63FF"/>
    <w:rsid w:val="015CE212"/>
    <w:rsid w:val="01F4E33A"/>
    <w:rsid w:val="04109B13"/>
    <w:rsid w:val="05A1A67D"/>
    <w:rsid w:val="05BF3F30"/>
    <w:rsid w:val="0A0024E7"/>
    <w:rsid w:val="0F927BCD"/>
    <w:rsid w:val="102517DD"/>
    <w:rsid w:val="10E07FD9"/>
    <w:rsid w:val="1330B19D"/>
    <w:rsid w:val="1560C836"/>
    <w:rsid w:val="1864000B"/>
    <w:rsid w:val="19CB3379"/>
    <w:rsid w:val="1BBA452A"/>
    <w:rsid w:val="1C1D3E20"/>
    <w:rsid w:val="1CB0EB38"/>
    <w:rsid w:val="202B5B88"/>
    <w:rsid w:val="207C7376"/>
    <w:rsid w:val="25BD96A4"/>
    <w:rsid w:val="29F09881"/>
    <w:rsid w:val="2A3A1AD8"/>
    <w:rsid w:val="2C90E5AC"/>
    <w:rsid w:val="2D67C2C4"/>
    <w:rsid w:val="2ED81D25"/>
    <w:rsid w:val="2F860547"/>
    <w:rsid w:val="3152F34E"/>
    <w:rsid w:val="3237886E"/>
    <w:rsid w:val="346DDB7E"/>
    <w:rsid w:val="37D0A0DB"/>
    <w:rsid w:val="3A27FEAE"/>
    <w:rsid w:val="3AB695DA"/>
    <w:rsid w:val="3B4B0CE7"/>
    <w:rsid w:val="3CB3B950"/>
    <w:rsid w:val="40E51691"/>
    <w:rsid w:val="44ABF010"/>
    <w:rsid w:val="492CA2D6"/>
    <w:rsid w:val="4B1FD5F4"/>
    <w:rsid w:val="4BA392DE"/>
    <w:rsid w:val="4D91BCAA"/>
    <w:rsid w:val="4DCF3FC4"/>
    <w:rsid w:val="4ECD98AF"/>
    <w:rsid w:val="51A3B991"/>
    <w:rsid w:val="51EE68B2"/>
    <w:rsid w:val="52080E54"/>
    <w:rsid w:val="5272CDCF"/>
    <w:rsid w:val="53F4CB9C"/>
    <w:rsid w:val="56B8D9EE"/>
    <w:rsid w:val="58CC08EC"/>
    <w:rsid w:val="5A2BE78E"/>
    <w:rsid w:val="5AEFB3AF"/>
    <w:rsid w:val="5C10AB89"/>
    <w:rsid w:val="5D24A098"/>
    <w:rsid w:val="5ECE3514"/>
    <w:rsid w:val="5F7300E7"/>
    <w:rsid w:val="61EB2763"/>
    <w:rsid w:val="63DAAECE"/>
    <w:rsid w:val="645B1C8E"/>
    <w:rsid w:val="649D3B6D"/>
    <w:rsid w:val="666DD7E4"/>
    <w:rsid w:val="6D38B254"/>
    <w:rsid w:val="6DC4A561"/>
    <w:rsid w:val="6E25FD3C"/>
    <w:rsid w:val="6F24BD7C"/>
    <w:rsid w:val="76741E87"/>
    <w:rsid w:val="77D98021"/>
    <w:rsid w:val="7918A8FF"/>
    <w:rsid w:val="7B904294"/>
    <w:rsid w:val="7DC7EC7D"/>
    <w:rsid w:val="7E1EFEF0"/>
    <w:rsid w:val="7F768237"/>
    <w:rsid w:val="7FC9B44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ED4D9E3F-BE40-45CD-94E0-B65B51E6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D6"/>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basedOn w:val="Normal"/>
    <w:next w:val="Normal"/>
    <w:link w:val="Heading1Char"/>
    <w:uiPriority w:val="9"/>
    <w:qFormat/>
    <w:rsid w:val="008020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8020A9"/>
    <w:pPr>
      <w:ind w:left="720"/>
      <w:contextualSpacing/>
    </w:pPr>
  </w:style>
  <w:style w:type="character" w:customStyle="1" w:styleId="Heading1Char">
    <w:name w:val="Heading 1 Char"/>
    <w:basedOn w:val="DefaultParagraphFont"/>
    <w:link w:val="Heading1"/>
    <w:uiPriority w:val="9"/>
    <w:rsid w:val="008020A9"/>
    <w:rPr>
      <w:rFonts w:asciiTheme="majorHAnsi" w:eastAsiaTheme="majorEastAsia" w:hAnsiTheme="majorHAnsi" w:cstheme="majorBidi"/>
      <w:color w:val="365F91" w:themeColor="accent1" w:themeShade="BF"/>
      <w:sz w:val="32"/>
      <w:szCs w:val="32"/>
      <w:lang w:eastAsia="et-EE"/>
    </w:rPr>
  </w:style>
  <w:style w:type="character" w:styleId="CommentReference">
    <w:name w:val="annotation reference"/>
    <w:basedOn w:val="DefaultParagraphFont"/>
    <w:uiPriority w:val="99"/>
    <w:semiHidden/>
    <w:unhideWhenUsed/>
    <w:rsid w:val="00E263F1"/>
    <w:rPr>
      <w:sz w:val="16"/>
      <w:szCs w:val="16"/>
    </w:rPr>
  </w:style>
  <w:style w:type="paragraph" w:styleId="CommentText">
    <w:name w:val="annotation text"/>
    <w:basedOn w:val="Normal"/>
    <w:link w:val="CommentTextChar"/>
    <w:uiPriority w:val="99"/>
    <w:unhideWhenUsed/>
    <w:rsid w:val="00E263F1"/>
    <w:rPr>
      <w:sz w:val="20"/>
    </w:rPr>
  </w:style>
  <w:style w:type="character" w:customStyle="1" w:styleId="CommentTextChar">
    <w:name w:val="Comment Text Char"/>
    <w:basedOn w:val="DefaultParagraphFont"/>
    <w:link w:val="CommentText"/>
    <w:uiPriority w:val="99"/>
    <w:rsid w:val="00E263F1"/>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E263F1"/>
    <w:rPr>
      <w:b/>
      <w:bCs/>
    </w:rPr>
  </w:style>
  <w:style w:type="character" w:customStyle="1" w:styleId="CommentSubjectChar">
    <w:name w:val="Comment Subject Char"/>
    <w:basedOn w:val="CommentTextChar"/>
    <w:link w:val="CommentSubject"/>
    <w:uiPriority w:val="99"/>
    <w:semiHidden/>
    <w:rsid w:val="00E263F1"/>
    <w:rPr>
      <w:rFonts w:ascii="Times New Roman" w:eastAsia="HG Mincho Light J" w:hAnsi="Times New Roman" w:cs="Times New Roman"/>
      <w:b/>
      <w:bCs/>
      <w:color w:val="000000"/>
      <w:sz w:val="20"/>
      <w:szCs w:val="20"/>
      <w:lang w:eastAsia="et-EE"/>
    </w:rPr>
  </w:style>
  <w:style w:type="paragraph" w:styleId="FootnoteText">
    <w:name w:val="footnote text"/>
    <w:basedOn w:val="Normal"/>
    <w:link w:val="FootnoteTextChar"/>
    <w:uiPriority w:val="99"/>
    <w:unhideWhenUsed/>
    <w:rsid w:val="001F19D4"/>
    <w:pPr>
      <w:widowControl/>
      <w:suppressAutoHyphens w:val="0"/>
      <w:jc w:val="both"/>
    </w:pPr>
    <w:rPr>
      <w:rFonts w:ascii="Georgia" w:eastAsiaTheme="minorHAnsi" w:hAnsi="Georgia" w:cstheme="minorBidi"/>
      <w:color w:val="auto"/>
      <w:sz w:val="20"/>
      <w:lang w:eastAsia="en-US"/>
    </w:rPr>
  </w:style>
  <w:style w:type="character" w:customStyle="1" w:styleId="FootnoteTextChar">
    <w:name w:val="Footnote Text Char"/>
    <w:basedOn w:val="DefaultParagraphFont"/>
    <w:link w:val="FootnoteText"/>
    <w:uiPriority w:val="99"/>
    <w:rsid w:val="001F19D4"/>
    <w:rPr>
      <w:rFonts w:ascii="Georgia" w:hAnsi="Georgia"/>
      <w:sz w:val="20"/>
      <w:szCs w:val="20"/>
    </w:rPr>
  </w:style>
  <w:style w:type="character" w:styleId="FootnoteReference">
    <w:name w:val="footnote reference"/>
    <w:basedOn w:val="DefaultParagraphFont"/>
    <w:uiPriority w:val="99"/>
    <w:unhideWhenUsed/>
    <w:rsid w:val="001F19D4"/>
    <w:rPr>
      <w:vertAlign w:val="superscript"/>
    </w:rPr>
  </w:style>
  <w:style w:type="character" w:styleId="UnresolvedMention">
    <w:name w:val="Unresolved Mention"/>
    <w:basedOn w:val="DefaultParagraphFont"/>
    <w:uiPriority w:val="99"/>
    <w:semiHidden/>
    <w:unhideWhenUsed/>
    <w:rsid w:val="009844B6"/>
    <w:rPr>
      <w:color w:val="605E5C"/>
      <w:shd w:val="clear" w:color="auto" w:fill="E1DFDD"/>
    </w:rPr>
  </w:style>
  <w:style w:type="paragraph" w:styleId="Revision">
    <w:name w:val="Revision"/>
    <w:hidden/>
    <w:uiPriority w:val="99"/>
    <w:semiHidden/>
    <w:rsid w:val="001E157C"/>
    <w:pPr>
      <w:spacing w:after="0" w:line="240" w:lineRule="auto"/>
    </w:pPr>
    <w:rPr>
      <w:rFonts w:ascii="Times New Roman" w:eastAsia="HG Mincho Light J" w:hAnsi="Times New Roman" w:cs="Times New Roman"/>
      <w:color w:val="000000"/>
      <w:sz w:val="24"/>
      <w:szCs w:val="20"/>
      <w:lang w:eastAsia="et-EE"/>
    </w:rPr>
  </w:style>
  <w:style w:type="character" w:styleId="FollowedHyperlink">
    <w:name w:val="FollowedHyperlink"/>
    <w:basedOn w:val="DefaultParagraphFont"/>
    <w:uiPriority w:val="99"/>
    <w:semiHidden/>
    <w:unhideWhenUsed/>
    <w:rsid w:val="00D72F2B"/>
    <w:rPr>
      <w:color w:val="800080" w:themeColor="followedHyperlink"/>
      <w:u w:val="single"/>
    </w:rPr>
  </w:style>
  <w:style w:type="paragraph" w:customStyle="1" w:styleId="Body">
    <w:name w:val="Body"/>
    <w:rsid w:val="005C2E66"/>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2727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hus.ee/et/lahendid?asjaNr=1-22-2637/233" TargetMode="External"/><Relationship Id="rId13" Type="http://schemas.openxmlformats.org/officeDocument/2006/relationships/hyperlink" Target="https://www.riigikohus.ee/et/lahendid?asjaNr=3-1-1-23-12" TargetMode="External"/><Relationship Id="rId18" Type="http://schemas.openxmlformats.org/officeDocument/2006/relationships/hyperlink" Target="https://www.riigikohus.ee/et/lahendid?asjaNr=3-4-1-16-10" TargetMode="External"/><Relationship Id="rId3" Type="http://schemas.openxmlformats.org/officeDocument/2006/relationships/hyperlink" Target="https://www.riigikohus.ee/et/lahendid?asjaNr=3-1-1-12-14" TargetMode="External"/><Relationship Id="rId21" Type="http://schemas.openxmlformats.org/officeDocument/2006/relationships/hyperlink" Target="https://www.riigiteataja.ee/kohtulahendid/fail.html?fid=399695225" TargetMode="External"/><Relationship Id="rId7" Type="http://schemas.openxmlformats.org/officeDocument/2006/relationships/hyperlink" Target="https://www.riigikohus.ee/et/lahendid?asjaNr=1-19-5367/144" TargetMode="External"/><Relationship Id="rId12" Type="http://schemas.openxmlformats.org/officeDocument/2006/relationships/hyperlink" Target="https://hudoc.echr.coe.int/eng" TargetMode="External"/><Relationship Id="rId17" Type="http://schemas.openxmlformats.org/officeDocument/2006/relationships/hyperlink" Target="https://www.riigiteataja.ee/kohtulahendid/fail.html?fid=374918840" TargetMode="External"/><Relationship Id="rId2" Type="http://schemas.openxmlformats.org/officeDocument/2006/relationships/hyperlink" Target="https://www.riigikohus.ee/et/lahendid?asjaNr=3-3-1-72-11" TargetMode="External"/><Relationship Id="rId16" Type="http://schemas.openxmlformats.org/officeDocument/2006/relationships/hyperlink" Target="https://www.riigikohus.ee/et/lahendid?asjaNr=1-22-2637/233" TargetMode="External"/><Relationship Id="rId20" Type="http://schemas.openxmlformats.org/officeDocument/2006/relationships/hyperlink" Target="https://www.riigiteataja.ee/kohtulahendid/fail.html?fid=374918840" TargetMode="External"/><Relationship Id="rId1" Type="http://schemas.openxmlformats.org/officeDocument/2006/relationships/hyperlink" Target="https://www.riigikohus.ee/et/lahendid?asjaNr=3-3-4-1-10" TargetMode="External"/><Relationship Id="rId6" Type="http://schemas.openxmlformats.org/officeDocument/2006/relationships/hyperlink" Target="https://www.riigikohus.ee/et/lahendid?asjaNr=3-1-1-98-15" TargetMode="External"/><Relationship Id="rId11" Type="http://schemas.openxmlformats.org/officeDocument/2006/relationships/hyperlink" Target="https://www.riigikohus.ee/et/lahendid?asjaNr=3-4-1-16-10" TargetMode="External"/><Relationship Id="rId5" Type="http://schemas.openxmlformats.org/officeDocument/2006/relationships/hyperlink" Target="https://www.riigikohus.ee/et/lahendid?asjaNr=1-22-2637/233" TargetMode="External"/><Relationship Id="rId15" Type="http://schemas.openxmlformats.org/officeDocument/2006/relationships/hyperlink" Target="https://www.riigikohus.ee/et/lahendid?asjaNr=1-17-6580/138" TargetMode="External"/><Relationship Id="rId10" Type="http://schemas.openxmlformats.org/officeDocument/2006/relationships/hyperlink" Target="https://www.oiguskantsler.ee/sites/default/files/field_document2/Ettekanne%20Riigikogu%20oiguskomisjonile" TargetMode="External"/><Relationship Id="rId19" Type="http://schemas.openxmlformats.org/officeDocument/2006/relationships/hyperlink" Target="https://www.riigikohus.ee/et/lahendid?asjaNr=3-1-1-65-16" TargetMode="External"/><Relationship Id="rId4" Type="http://schemas.openxmlformats.org/officeDocument/2006/relationships/hyperlink" Target="https://www.riigikohus.ee/et/lahendid?asjaNr=1-22-2637/233" TargetMode="External"/><Relationship Id="rId9" Type="http://schemas.openxmlformats.org/officeDocument/2006/relationships/hyperlink" Target="https://www.riigiteataja.ee/kohtulahendid/fail.html?fid=374918840" TargetMode="External"/><Relationship Id="rId14" Type="http://schemas.openxmlformats.org/officeDocument/2006/relationships/hyperlink" Target="https://www.riigikohus.ee/et/lahendid?asjaNr=3-1-1-103-12" TargetMode="External"/><Relationship Id="rId22" Type="http://schemas.openxmlformats.org/officeDocument/2006/relationships/hyperlink" Target="https://www.riigikohus.ee/et/lahendid?asjaNr=1-22-2637/2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909DF-BEEA-4756-99A3-901FF2EA9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3.xml><?xml version="1.0" encoding="utf-8"?>
<ds:datastoreItem xmlns:ds="http://schemas.openxmlformats.org/officeDocument/2006/customXml" ds:itemID="{BC1AE3BE-AC53-4274-B869-A480376DC19A}">
  <ds:schemaRefs>
    <ds:schemaRef ds:uri="http://schemas.microsoft.com/office/2006/metadata/properties"/>
    <ds:schemaRef ds:uri="http://schemas.microsoft.com/office/infopath/2007/PartnerControls"/>
    <ds:schemaRef ds:uri="3ef563e4-a684-4eea-bca7-75b3817198a1"/>
  </ds:schemaRefs>
</ds:datastoreItem>
</file>

<file path=customXml/itemProps4.xml><?xml version="1.0" encoding="utf-8"?>
<ds:datastoreItem xmlns:ds="http://schemas.openxmlformats.org/officeDocument/2006/customXml" ds:itemID="{F5D0EFB8-1E38-4FCE-B8BA-AFC92B0174BD}">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3126</Words>
  <Characters>18132</Characters>
  <Application>Microsoft Office Word</Application>
  <DocSecurity>0</DocSecurity>
  <Lines>151</Lines>
  <Paragraphs>42</Paragraphs>
  <ScaleCrop>false</ScaleCrop>
  <Company>Ettevõte</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2</cp:revision>
  <dcterms:created xsi:type="dcterms:W3CDTF">2026-01-12T07:36:00Z</dcterms:created>
  <dcterms:modified xsi:type="dcterms:W3CDTF">2026-01-12T07:36:00Z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